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24.01.2024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73/06-53-24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convertedspace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3">
        <w:r>
          <w:rPr>
            <w:rStyle w:val="Style16"/>
            <w:rFonts w:eastAsia="Times New Roman" w:cs="Times New Roman" w:ascii="Times New Roman" w:hAnsi="Times New Roman"/>
            <w:color w:val="000000"/>
            <w:sz w:val="26"/>
            <w:szCs w:val="26"/>
            <w:u w:val="none"/>
            <w:shd w:fill="FFFFFF" w:val="clear"/>
            <w:lang w:eastAsia="ru-RU" w:bidi="ar-SA"/>
          </w:rPr>
          <w:t>пунктом 2</w:t>
        </w:r>
      </w:hyperlink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перебуває на обліку як внутрішньо переміщена особа у Покровській міській територіальній громаді з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службова записка начальника управління праці та соціального захисту населення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Style17">
    <w:name w:val="FollowedHyperlink"/>
    <w:rPr>
      <w:color w:val="800080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../&#1051;&#1048;&#1057;&#1058;&#1054;&#1055;&#1040;&#1044;/&#1057;&#1090;&#1072;&#1090;&#1091;&#1089;&#1080;%20&#1076;&#1110;&#1090;&#1077;&#1081;,%20&#1103;&#1082;&#1110;%20&#1087;&#1086;&#1089;&#1090;&#1088;&#1072;&#1078;&#1076;&#1072;&#1083;&#1080;/_blan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Application>LibreOffice/7.4.3.2$Windows_X86_64 LibreOffice_project/1048a8393ae2eeec98dff31b5c133c5f1d08b890</Application>
  <AppVersion>15.0000</AppVersion>
  <Pages>2</Pages>
  <Words>487</Words>
  <Characters>3300</Characters>
  <CharactersWithSpaces>3939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2024-01-26T15:27:44Z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