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5704840</wp:posOffset>
                </wp:positionH>
                <wp:positionV relativeFrom="paragraph">
                  <wp:posOffset>-192405</wp:posOffset>
                </wp:positionV>
                <wp:extent cx="505460" cy="2343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23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9.2pt;margin-top:-15.15pt;width:39.7pt;height:18.3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№692/06-53-23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3">
        <w:r>
          <w:rPr>
            <w:rStyle w:val="Style16"/>
            <w:rFonts w:eastAsia="Times New Roman" w:cs="Times New Roman" w:ascii="Times New Roman" w:hAnsi="Times New Roman"/>
            <w:color w:val="000000"/>
            <w:sz w:val="26"/>
            <w:szCs w:val="26"/>
            <w:highlight w:val="white"/>
            <w:u w:val="none"/>
            <w:lang w:eastAsia="ru-RU" w:bidi="ar-SA"/>
          </w:rPr>
          <w:t>пунктом 2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№78, ст. 2605; 2022 р., № 57, ст.3390).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перебуває на обліку як внутрішньо переміщена особа у Покровській міській територіальній громаді з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службова записка управління праці та соціального захисту населення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Враховуючи вищевикладене, у зв’язку з тим, що на час народження вищевказаної дитини матір останнього,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перебувала як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внутрішньо переміщена особа в межах Покровської міської територіальної громади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відсутністю відомостей про моральні та психологічні страждання (травми) вищевказаної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5 квітня 2017 р.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», ст.ст.40, 59 Закону України «Про місцеве самоврядування в Україні», відповідно до протоколу №21 комісії з питань захисту прав дитини при виконавчому комітеті Покровської міської ради Дніпропетровської області від</w:t>
      </w:r>
      <w:r>
        <w:rPr>
          <w:rStyle w:val="Style14"/>
          <w:rFonts w:eastAsia="Times New Roman" w:cs="Times New Roman" w:ascii="Times New Roman" w:hAnsi="Times New Roman"/>
          <w:color w:val="C9211E"/>
          <w:sz w:val="26"/>
          <w:szCs w:val="26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20.11.2023 року,  виконавчий комітет Покровської міської ради Дніпропетровської області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00"/>
      <w:sz w:val="26"/>
      <w:szCs w:val="26"/>
      <w:shd w:fill="FFFFFF" w:val="clear"/>
      <w:lang w:eastAsia="ru-RU" w:bidi="ar-S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6"/>
      <w:szCs w:val="26"/>
      <w:highlight w:val="white"/>
      <w:u w:val="none"/>
      <w:lang w:eastAsia="ru-RU" w:bidi="ar-S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Application>LibreOffice/6.1.4.2$Windows_x86 LibreOffice_project/9d0f32d1f0b509096fd65e0d4bec26ddd1938fd3</Application>
  <Pages>2</Pages>
  <Words>571</Words>
  <Characters>3849</Characters>
  <CharactersWithSpaces>4575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2023-12-06T16:03:06Z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