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5727065</wp:posOffset>
                </wp:positionH>
                <wp:positionV relativeFrom="paragraph">
                  <wp:posOffset>44450</wp:posOffset>
                </wp:positionV>
                <wp:extent cx="753110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0.95pt;margin-top:3.5pt;width:59.2pt;height:19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-13335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Style w:val="11"/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відсутні. Останній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Відповідно до договору купівлі-продажу житлового будинку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р. (зареєстровано в реєстрі за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 матір дитини,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має на праві власності житловий будинок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LibreOffice/6.1.4.2$Windows_x86 LibreOffice_project/9d0f32d1f0b509096fd65e0d4bec26ddd1938fd3</Application>
  <Pages>1</Pages>
  <Words>276</Words>
  <Characters>1956</Characters>
  <CharactersWithSpaces>2384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2023-11-21T07:06:00Z</cp:lastPrinted>
  <dcterms:modified xsi:type="dcterms:W3CDTF">2023-12-06T11:18:08Z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