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860" cy="2089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-466725</wp:posOffset>
            </wp:positionV>
            <wp:extent cx="421005" cy="601345"/>
            <wp:effectExtent l="0" t="0" r="0" b="0"/>
            <wp:wrapTopAndBottom/>
            <wp:docPr id="3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6"/>
          <w:szCs w:val="26"/>
          <w:lang w:val="uk-UA"/>
        </w:rPr>
        <w:t xml:space="preserve">23.12.2021 р.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 w:val="false"/>
          <w:bCs w:val="false"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                     </w:t>
      </w:r>
      <w:r>
        <w:rPr>
          <w:b w:val="false"/>
          <w:bCs w:val="false"/>
          <w:sz w:val="26"/>
          <w:szCs w:val="26"/>
          <w:lang w:val="uk-UA"/>
        </w:rPr>
        <w:t>№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 w:val="false"/>
          <w:bCs w:val="false"/>
          <w:sz w:val="26"/>
          <w:szCs w:val="26"/>
          <w:lang w:val="uk-UA"/>
        </w:rPr>
        <w:t>580</w:t>
      </w:r>
    </w:p>
    <w:p>
      <w:pPr>
        <w:pStyle w:val="BodyText2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5159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 xml:space="preserve">Про продовження договору оренди комунального майна, розташованого по вул.Героїв України, 13, загальною площею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uk-UA" w:eastAsia="ru-RU" w:bidi="ar-SA"/>
        </w:rPr>
        <w:t>138,4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eastAsia="ru-RU"/>
        </w:rPr>
        <w:t>кв.м. без проведення аукціону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5159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>Розглянувши заяву орендаря комунального майна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/>
        </w:rPr>
        <w:t>ериторіального центру соціального обслуговування (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eastAsia="ru-RU"/>
        </w:rPr>
        <w:t>надання соціальних послуг)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 xml:space="preserve"> щодо продовження договору оренди комунального майна, подану 01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ru-RU"/>
        </w:rPr>
        <w:t>.12.2021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 xml:space="preserve"> року через ЕТС “ProZorro.Продажі”, (ID заяви:</w:t>
      </w:r>
      <w:bookmarkStart w:id="0" w:name="tenderidua"/>
      <w:bookmarkEnd w:id="0"/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shd w:fill="F8F8F8" w:val="clear"/>
          <w:lang w:eastAsia="ru-RU"/>
        </w:rPr>
        <w:t>RGLR001-UA-20211201-53607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shd w:fill="auto" w:val="clear"/>
          <w:lang w:eastAsia="ru-RU"/>
        </w:rPr>
        <w:t xml:space="preserve">, ID об'єкта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shd w:fill="F8F8F8" w:val="clear"/>
          <w:lang w:val="uk-UA" w:eastAsia="ru-RU"/>
        </w:rPr>
        <w:t>RGL001-UA-20211104-18467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>); 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000000"/>
          <w:sz w:val="26"/>
          <w:szCs w:val="26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6"/>
          <w:szCs w:val="26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6"/>
          <w:szCs w:val="26"/>
          <w:highlight w:val="yellow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1. Продовжити без проведення аукціон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 xml:space="preserve"> договір оренди майна, що належить до комунальної власності Покровської міської територіальної громади Дніпропетровської області,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а саме: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вбудоване нежитлове приміщен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ня загальною площею 138,4 кв.м., розташоване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за адресою Дніпропетровська обл., Нікопольський район, м. Покров, вул. Героїв України, 13,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згідно додатку до цього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2. Контроль за виконанням цього рішення покласти на заступника міського голови Олександра Чистякова.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                                                                                 Олександр ШАПОВАЛ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false"/>
        <w:overflowPunct w:val="false"/>
        <w:bidi w:val="0"/>
        <w:spacing w:lineRule="auto" w:line="240" w:before="0" w:after="0"/>
        <w:ind w:left="0" w:right="0" w:firstLine="9071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7" w:header="0" w:top="1134" w:footer="0" w:bottom="170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suppressAutoHyphens w:val="false"/>
        <w:overflowPunct w:val="false"/>
        <w:bidi w:val="0"/>
        <w:spacing w:lineRule="auto" w:line="240" w:before="0" w:after="0"/>
        <w:ind w:left="0" w:right="0" w:firstLine="9071"/>
        <w:jc w:val="left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   </w:t>
      </w:r>
    </w:p>
    <w:p>
      <w:pPr>
        <w:pStyle w:val="Normal"/>
        <w:widowControl w:val="false"/>
        <w:suppressAutoHyphens w:val="false"/>
        <w:overflowPunct w:val="false"/>
        <w:bidi w:val="0"/>
        <w:spacing w:lineRule="auto" w:line="240" w:before="0" w:after="0"/>
        <w:ind w:left="0" w:right="0" w:firstLine="9071"/>
        <w:jc w:val="left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Додаток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left="9071" w:right="0" w:hanging="0"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 w:before="0" w:after="0"/>
        <w:ind w:left="9071" w:right="0" w:hanging="0"/>
        <w:jc w:val="both"/>
        <w:rPr>
          <w:sz w:val="26"/>
          <w:szCs w:val="26"/>
        </w:rPr>
      </w:pPr>
      <w:r>
        <w:rPr>
          <w:rFonts w:eastAsia="Calibri" w:cs="Liberation Serif;Times New Roman" w:ascii="Times New Roman" w:hAnsi="Times New Roman"/>
          <w:color w:val="auto"/>
          <w:sz w:val="26"/>
          <w:szCs w:val="26"/>
          <w:lang w:val="uk-UA" w:eastAsia="zh-CN"/>
        </w:rPr>
        <w:t>________________________ №____________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5245" w:leader="none"/>
        </w:tabs>
        <w:bidi w:val="0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2"/>
        <w:numPr>
          <w:ilvl w:val="1"/>
          <w:numId w:val="2"/>
        </w:numPr>
        <w:bidi w:val="0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6"/>
          <w:szCs w:val="26"/>
          <w:lang w:val="uk-UA"/>
        </w:rPr>
        <w:t xml:space="preserve">Договір оренди комунального майна, </w:t>
      </w:r>
    </w:p>
    <w:p>
      <w:pPr>
        <w:pStyle w:val="2"/>
        <w:keepNext w:val="true"/>
        <w:widowControl w:val="false"/>
        <w:numPr>
          <w:ilvl w:val="1"/>
          <w:numId w:val="2"/>
        </w:numPr>
        <w:tabs>
          <w:tab w:val="clear" w:pos="708"/>
          <w:tab w:val="left" w:pos="5245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6"/>
          <w:szCs w:val="26"/>
          <w:lang w:val="uk-UA" w:eastAsia="zh-CN"/>
        </w:rPr>
        <w:t xml:space="preserve">який продовжується без проведення аукціону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245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400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819"/>
        <w:gridCol w:w="2887"/>
        <w:gridCol w:w="2663"/>
        <w:gridCol w:w="1594"/>
        <w:gridCol w:w="1480"/>
        <w:gridCol w:w="3562"/>
      </w:tblGrid>
      <w:tr>
        <w:trPr>
          <w:tblHeader w:val="true"/>
          <w:trHeight w:val="1134" w:hRule="exac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№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Орендар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Характеристика об’єкта оренди, ідентифікатор об'єкта в ЕТС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Цільове використання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Договір оренди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Продовжено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Спосіб встановлення орендної плати</w:t>
            </w:r>
          </w:p>
        </w:tc>
      </w:tr>
      <w:tr>
        <w:trPr>
          <w:trHeight w:val="4535" w:hRule="exac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/>
              </w:rPr>
              <w:t>Т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ериторіальний центр соціального обслуговування (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/>
              </w:rPr>
              <w:t xml:space="preserve">надання соціальних послуг)     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ідентифікаційний код юридичної особи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21907980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)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8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Вбудоване нежитлове приміщення загальною площею 138,4 кв.м., розташоване за адресою Дніпропетровська обл., Нікопольський район, м. Покров, вул. Героїв України, 13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eastAsia="Calibri" w:cs="Times New Roman"/>
                <w:color w:val="auto"/>
                <w:lang w:val="uk-UA" w:eastAsia="zh-CN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ID об'єкту: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FFFFFF" w:val="clear"/>
                <w:lang w:val="uk-UA" w:eastAsia="ru-RU"/>
              </w:rPr>
              <w:br/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val="uk-UA" w:eastAsia="ru-RU"/>
              </w:rPr>
              <w:t xml:space="preserve"> RGL001-UA-20211104-18467</w:t>
            </w:r>
          </w:p>
        </w:tc>
        <w:tc>
          <w:tcPr>
            <w:tcW w:w="26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</w:rPr>
              <w:t>Розміщення державних та комунальних спеціалізованих підприємств, установ та закладів соціального обслуговування, що надають соціальні послуги відповідно до Закону України “Про соціальні послуги”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141/19 від 03.04.2019 року 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По 03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.04.2024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 xml:space="preserve"> року</w:t>
            </w:r>
          </w:p>
        </w:tc>
        <w:tc>
          <w:tcPr>
            <w:tcW w:w="3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 xml:space="preserve">Розмір річної орендної плати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 w:eastAsia="zh-CN"/>
              </w:rPr>
              <w:t xml:space="preserve">встановлюється у розмірі 1 гривні без ПДВ на підставі пункту 11 “Методики розрахунку орендної плати за комунальне майно Покровської міської територіальної громади Дніпропетровської області”, затвердженої рішенням рішення 13 сесії міської ради 8 скликання від 28.10.2021 </w:t>
            </w:r>
          </w:p>
          <w:p>
            <w:pPr>
              <w:pStyle w:val="Normal"/>
              <w:widowControl w:val="false"/>
              <w:bidi w:val="0"/>
              <w:snapToGrid w:val="false"/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 w:eastAsia="zh-CN"/>
              </w:rPr>
              <w:t xml:space="preserve">№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 w:eastAsia="zh-CN"/>
              </w:rPr>
              <w:t>4</w:t>
            </w:r>
          </w:p>
        </w:tc>
      </w:tr>
    </w:tbl>
    <w:p>
      <w:pPr>
        <w:pStyle w:val="Normal"/>
        <w:bidi w:val="0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відділу економіки                                                               Тетяна СІДАШОВА</w:t>
      </w:r>
    </w:p>
    <w:sectPr>
      <w:type w:val="nextPage"/>
      <w:pgSz w:orient="landscape" w:w="16838" w:h="11906"/>
      <w:pgMar w:left="1701" w:right="1134" w:header="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410</TotalTime>
  <Application>LibreOffice/7.1.5.2$Linux_X86_64 LibreOffice_project/10$Build-2</Application>
  <AppVersion>15.0000</AppVersion>
  <Pages>2</Pages>
  <Words>303</Words>
  <Characters>2248</Characters>
  <CharactersWithSpaces>2777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cp:lastPrinted>2021-12-03T10:53:30Z</cp:lastPrinted>
  <dcterms:modified xsi:type="dcterms:W3CDTF">2021-12-30T15:01:39Z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