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354A15" w:rsidRPr="00354A15" w:rsidTr="001D18FE">
        <w:trPr>
          <w:trHeight w:val="422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A15" w:rsidRPr="00354A15" w:rsidRDefault="00354A15" w:rsidP="00354A15">
            <w:pPr>
              <w:ind w:firstLine="32"/>
              <w:jc w:val="center"/>
              <w:rPr>
                <w:b/>
                <w:szCs w:val="28"/>
              </w:rPr>
            </w:pPr>
          </w:p>
        </w:tc>
      </w:tr>
      <w:tr w:rsidR="00354A15" w:rsidRPr="00354A15" w:rsidTr="00354A15">
        <w:trPr>
          <w:trHeight w:val="1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A15" w:rsidRPr="00354A15" w:rsidRDefault="00354A15" w:rsidP="00354A15">
            <w:pPr>
              <w:ind w:firstLine="32"/>
              <w:jc w:val="center"/>
              <w:rPr>
                <w:noProof/>
                <w:sz w:val="24"/>
                <w:lang w:val="ru-RU"/>
              </w:rPr>
            </w:pPr>
          </w:p>
        </w:tc>
      </w:tr>
    </w:tbl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МІСЦЕВЕ САМОВРЯДУВАННЯ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ВИКОНАВЧИЙ КОМІТЕТ ПОКРОВСЬКОЇ МІСЬКОЇ РАДИ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ДНІПРОПЕТРОВСЬКОЇ ОБЛАСТІ</w:t>
      </w:r>
    </w:p>
    <w:p w:rsidR="00354A15" w:rsidRPr="00354A15" w:rsidRDefault="00354A15" w:rsidP="00354A15">
      <w:pPr>
        <w:ind w:firstLine="284"/>
        <w:rPr>
          <w:b/>
          <w:szCs w:val="28"/>
        </w:rPr>
      </w:pPr>
      <w:r w:rsidRPr="00354A15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889D" wp14:editId="0EF6E1FA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94727B" w:rsidP="00354A15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</w:t>
      </w:r>
      <w:bookmarkStart w:id="0" w:name="_GoBack"/>
      <w:bookmarkEnd w:id="0"/>
      <w:r>
        <w:rPr>
          <w:b/>
          <w:szCs w:val="28"/>
        </w:rPr>
        <w:t xml:space="preserve">    </w:t>
      </w:r>
      <w:r w:rsidR="00354A15" w:rsidRPr="00354A15">
        <w:rPr>
          <w:b/>
          <w:szCs w:val="28"/>
        </w:rPr>
        <w:t xml:space="preserve">Р І Ш Е Н </w:t>
      </w:r>
      <w:proofErr w:type="spellStart"/>
      <w:r w:rsidR="00354A15" w:rsidRPr="00354A15">
        <w:rPr>
          <w:b/>
          <w:szCs w:val="28"/>
        </w:rPr>
        <w:t>Н</w:t>
      </w:r>
      <w:proofErr w:type="spellEnd"/>
      <w:r w:rsidR="00354A15" w:rsidRPr="00354A15">
        <w:rPr>
          <w:b/>
          <w:szCs w:val="28"/>
        </w:rPr>
        <w:t xml:space="preserve"> Я</w: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AE067E" w:rsidRPr="00895578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895578" w:rsidRDefault="008C28EA" w:rsidP="00F85DB7">
      <w:pPr>
        <w:tabs>
          <w:tab w:val="left" w:pos="10440"/>
        </w:tabs>
        <w:ind w:left="284"/>
        <w:rPr>
          <w:szCs w:val="28"/>
          <w:lang w:val="ru-RU"/>
        </w:rPr>
      </w:pPr>
      <w:r w:rsidRPr="00895578">
        <w:rPr>
          <w:szCs w:val="28"/>
        </w:rPr>
        <w:t xml:space="preserve">Про </w:t>
      </w:r>
      <w:r w:rsidR="009C2114" w:rsidRPr="00895578">
        <w:rPr>
          <w:szCs w:val="28"/>
        </w:rPr>
        <w:t xml:space="preserve">надання дозволу </w:t>
      </w:r>
      <w:r w:rsidRPr="00895578">
        <w:rPr>
          <w:szCs w:val="28"/>
        </w:rPr>
        <w:t>на</w:t>
      </w:r>
      <w:r w:rsidRPr="00895578">
        <w:rPr>
          <w:szCs w:val="28"/>
          <w:lang w:val="ru-RU"/>
        </w:rPr>
        <w:t xml:space="preserve"> </w:t>
      </w:r>
      <w:proofErr w:type="spellStart"/>
      <w:r w:rsidRPr="00895578">
        <w:rPr>
          <w:szCs w:val="28"/>
          <w:lang w:val="ru-RU"/>
        </w:rPr>
        <w:t>розміщення</w:t>
      </w:r>
      <w:proofErr w:type="spellEnd"/>
      <w:r w:rsidRPr="00895578">
        <w:rPr>
          <w:szCs w:val="28"/>
          <w:lang w:val="ru-RU"/>
        </w:rPr>
        <w:t xml:space="preserve"> </w:t>
      </w:r>
    </w:p>
    <w:p w:rsid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тимчасової споруди – </w:t>
      </w:r>
      <w:r w:rsidR="00296628" w:rsidRPr="00895578">
        <w:rPr>
          <w:szCs w:val="28"/>
        </w:rPr>
        <w:t>торговельного</w:t>
      </w:r>
    </w:p>
    <w:p w:rsidR="008C28EA" w:rsidRPr="00895578" w:rsidRDefault="00296628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кіоску</w:t>
      </w:r>
      <w:r w:rsidR="008C28EA" w:rsidRPr="00895578">
        <w:rPr>
          <w:szCs w:val="28"/>
        </w:rPr>
        <w:t xml:space="preserve"> по вул. </w:t>
      </w:r>
      <w:r w:rsidR="001D18FE">
        <w:rPr>
          <w:szCs w:val="28"/>
        </w:rPr>
        <w:t>ХХХ</w:t>
      </w:r>
      <w:r w:rsidR="003F456A">
        <w:rPr>
          <w:szCs w:val="28"/>
        </w:rPr>
        <w:t xml:space="preserve"> </w:t>
      </w:r>
      <w:r w:rsidR="00895578">
        <w:rPr>
          <w:szCs w:val="28"/>
        </w:rPr>
        <w:t xml:space="preserve"> </w:t>
      </w:r>
      <w:r w:rsidRPr="00895578">
        <w:rPr>
          <w:szCs w:val="28"/>
        </w:rPr>
        <w:t xml:space="preserve">ФОП </w:t>
      </w:r>
      <w:r w:rsidR="001D18FE">
        <w:rPr>
          <w:szCs w:val="28"/>
        </w:rPr>
        <w:t>ХХХ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______________________________________</w:t>
      </w:r>
    </w:p>
    <w:p w:rsidR="008C28EA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         </w:t>
      </w:r>
    </w:p>
    <w:p w:rsidR="00E16083" w:rsidRPr="00895578" w:rsidRDefault="00E16083" w:rsidP="00F85DB7">
      <w:pPr>
        <w:tabs>
          <w:tab w:val="left" w:pos="10440"/>
        </w:tabs>
        <w:ind w:left="284"/>
        <w:rPr>
          <w:szCs w:val="28"/>
        </w:rPr>
      </w:pPr>
    </w:p>
    <w:p w:rsidR="00FA3BB4" w:rsidRDefault="00561BCE" w:rsidP="00F85DB7">
      <w:pPr>
        <w:tabs>
          <w:tab w:val="left" w:pos="1080"/>
        </w:tabs>
        <w:ind w:left="284"/>
        <w:jc w:val="both"/>
        <w:rPr>
          <w:szCs w:val="28"/>
        </w:rPr>
      </w:pPr>
      <w:r w:rsidRPr="00895578">
        <w:rPr>
          <w:szCs w:val="28"/>
        </w:rPr>
        <w:tab/>
      </w:r>
      <w:r w:rsidR="008C28EA" w:rsidRPr="00895578">
        <w:rPr>
          <w:szCs w:val="28"/>
        </w:rPr>
        <w:t xml:space="preserve">Розглянувши </w:t>
      </w:r>
      <w:r w:rsidR="009C2114" w:rsidRPr="00895578">
        <w:rPr>
          <w:szCs w:val="28"/>
        </w:rPr>
        <w:t>заяв</w:t>
      </w:r>
      <w:r w:rsidR="00E16083">
        <w:rPr>
          <w:szCs w:val="28"/>
        </w:rPr>
        <w:t>у</w:t>
      </w:r>
      <w:r w:rsidR="009C2114" w:rsidRPr="00895578">
        <w:rPr>
          <w:szCs w:val="28"/>
        </w:rPr>
        <w:t xml:space="preserve"> </w:t>
      </w:r>
      <w:r w:rsidR="001D18FE">
        <w:rPr>
          <w:szCs w:val="28"/>
        </w:rPr>
        <w:t>ХХХ</w:t>
      </w:r>
      <w:r w:rsidR="008C28EA" w:rsidRPr="00895578">
        <w:rPr>
          <w:szCs w:val="28"/>
        </w:rPr>
        <w:t xml:space="preserve"> </w:t>
      </w:r>
      <w:r w:rsidR="009C2114" w:rsidRPr="00895578">
        <w:rPr>
          <w:szCs w:val="28"/>
        </w:rPr>
        <w:t xml:space="preserve">щодо </w:t>
      </w:r>
      <w:r w:rsidR="008C28EA" w:rsidRPr="00895578">
        <w:rPr>
          <w:szCs w:val="28"/>
        </w:rPr>
        <w:t xml:space="preserve">надання дозволу на </w:t>
      </w:r>
      <w:r w:rsidR="00296628" w:rsidRPr="00895578">
        <w:rPr>
          <w:szCs w:val="28"/>
        </w:rPr>
        <w:t>розміщення тимчасової споруди – торговельного кіоску</w:t>
      </w:r>
      <w:r w:rsidR="008C28EA" w:rsidRPr="00895578">
        <w:rPr>
          <w:szCs w:val="28"/>
        </w:rPr>
        <w:t xml:space="preserve"> по</w:t>
      </w:r>
      <w:r w:rsidR="00BC6350" w:rsidRPr="00895578">
        <w:rPr>
          <w:szCs w:val="28"/>
        </w:rPr>
        <w:t xml:space="preserve"> </w:t>
      </w:r>
      <w:r w:rsidR="008C28EA" w:rsidRPr="00895578">
        <w:rPr>
          <w:szCs w:val="28"/>
        </w:rPr>
        <w:t xml:space="preserve">вул. </w:t>
      </w:r>
      <w:r w:rsidR="001D18FE">
        <w:rPr>
          <w:szCs w:val="28"/>
        </w:rPr>
        <w:t>ХХХ</w:t>
      </w:r>
      <w:r w:rsidR="008C28EA" w:rsidRPr="00895578">
        <w:rPr>
          <w:szCs w:val="28"/>
        </w:rPr>
        <w:t xml:space="preserve">, </w:t>
      </w:r>
      <w:r w:rsidR="00FA3BB4" w:rsidRPr="00895578">
        <w:rPr>
          <w:szCs w:val="28"/>
        </w:rPr>
        <w:t xml:space="preserve">відповідно до </w:t>
      </w:r>
      <w:r w:rsidR="003F456A">
        <w:rPr>
          <w:szCs w:val="28"/>
        </w:rPr>
        <w:t xml:space="preserve">            </w:t>
      </w:r>
      <w:r w:rsidR="00FA3BB4" w:rsidRPr="00895578">
        <w:rPr>
          <w:szCs w:val="28"/>
        </w:rPr>
        <w:t xml:space="preserve">ст. 28 Закону України «Про регулювання містобудівної діяльності», ст. 16, </w:t>
      </w:r>
      <w:r w:rsidR="003F456A">
        <w:rPr>
          <w:szCs w:val="28"/>
        </w:rPr>
        <w:t xml:space="preserve">              </w:t>
      </w:r>
      <w:r w:rsidR="00FA3BB4" w:rsidRPr="00895578">
        <w:rPr>
          <w:szCs w:val="28"/>
        </w:rPr>
        <w:t>ст. 21 Закону України «Про благоустрій населених пунктів», Положення про порядок розміщення тимчасових споруд у м. Покров,</w:t>
      </w:r>
      <w:r w:rsidR="00FA3BB4" w:rsidRPr="00895578">
        <w:rPr>
          <w:bCs/>
          <w:szCs w:val="28"/>
        </w:rPr>
        <w:t xml:space="preserve"> затвердженого рішенням </w:t>
      </w:r>
      <w:r w:rsidR="00FA3BB4" w:rsidRPr="00895578">
        <w:rPr>
          <w:szCs w:val="28"/>
        </w:rPr>
        <w:t>24 сесії міської ради 6 скликання</w:t>
      </w:r>
      <w:r w:rsidR="00FA3BB4" w:rsidRPr="00895578">
        <w:rPr>
          <w:bCs/>
          <w:szCs w:val="28"/>
        </w:rPr>
        <w:t xml:space="preserve"> від 26.07.2012 № 17, </w:t>
      </w:r>
      <w:r w:rsidR="00FA3BB4" w:rsidRPr="00895578">
        <w:rPr>
          <w:szCs w:val="28"/>
        </w:rPr>
        <w:t>Правил благоустрою на території міста Покров, затверджених рішенням 35 сесії міської ради 6 скликання від 26.11.2013</w:t>
      </w:r>
      <w:r w:rsidR="00E16083">
        <w:rPr>
          <w:szCs w:val="28"/>
        </w:rPr>
        <w:t xml:space="preserve"> </w:t>
      </w:r>
      <w:r w:rsidR="00FA3BB4" w:rsidRPr="00895578">
        <w:rPr>
          <w:bCs/>
          <w:szCs w:val="28"/>
        </w:rPr>
        <w:t xml:space="preserve">№ 26, </w:t>
      </w:r>
      <w:r w:rsidR="00FA3BB4" w:rsidRPr="00895578">
        <w:rPr>
          <w:szCs w:val="28"/>
        </w:rPr>
        <w:t>керуючись ст. 30 Закону України «Про місцеве самоврядування в Україні», виконком міської ради</w:t>
      </w:r>
    </w:p>
    <w:p w:rsidR="008C28EA" w:rsidRDefault="008C28EA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95578">
        <w:rPr>
          <w:bCs/>
          <w:szCs w:val="28"/>
        </w:rPr>
        <w:t>В И Р І Ш И В: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1. Надати </w:t>
      </w:r>
      <w:r w:rsidR="001D18FE">
        <w:rPr>
          <w:bCs/>
          <w:szCs w:val="28"/>
        </w:rPr>
        <w:t>ХХХ</w:t>
      </w:r>
      <w:r w:rsidRPr="003F456A">
        <w:rPr>
          <w:bCs/>
          <w:szCs w:val="28"/>
        </w:rPr>
        <w:t xml:space="preserve"> дозвіл на розміщення тимчасової споруди–торговельного павільйону (ТС) до 01.</w:t>
      </w:r>
      <w:r w:rsidR="00F85DB7">
        <w:rPr>
          <w:bCs/>
          <w:szCs w:val="28"/>
        </w:rPr>
        <w:t>10</w:t>
      </w:r>
      <w:r w:rsidRPr="003F456A">
        <w:rPr>
          <w:bCs/>
          <w:szCs w:val="28"/>
        </w:rPr>
        <w:t>.201</w:t>
      </w:r>
      <w:r w:rsidR="00F85DB7">
        <w:rPr>
          <w:bCs/>
          <w:szCs w:val="28"/>
        </w:rPr>
        <w:t>7</w:t>
      </w:r>
      <w:r w:rsidRPr="003F456A">
        <w:rPr>
          <w:bCs/>
          <w:szCs w:val="28"/>
        </w:rPr>
        <w:t xml:space="preserve"> для здійснення торгівлі продовольчими товарами по вул. </w:t>
      </w:r>
      <w:r w:rsidR="001D18FE">
        <w:rPr>
          <w:bCs/>
          <w:szCs w:val="28"/>
        </w:rPr>
        <w:t>ХХХ</w:t>
      </w:r>
      <w:r w:rsidRPr="003F456A">
        <w:rPr>
          <w:bCs/>
          <w:szCs w:val="28"/>
        </w:rPr>
        <w:t>, згідно Паспорту прив’язки.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2. Зобов’язати </w:t>
      </w:r>
      <w:r w:rsidR="001D18FE">
        <w:rPr>
          <w:bCs/>
          <w:szCs w:val="28"/>
        </w:rPr>
        <w:t>ХХХ</w:t>
      </w:r>
      <w:r w:rsidRPr="003F456A">
        <w:rPr>
          <w:bCs/>
          <w:szCs w:val="28"/>
        </w:rPr>
        <w:t xml:space="preserve"> </w:t>
      </w:r>
      <w:r w:rsidR="00F85DB7">
        <w:rPr>
          <w:bCs/>
          <w:szCs w:val="28"/>
        </w:rPr>
        <w:t>п</w:t>
      </w:r>
      <w:r w:rsidRPr="003F456A">
        <w:rPr>
          <w:bCs/>
          <w:szCs w:val="28"/>
        </w:rPr>
        <w:t xml:space="preserve">остійно підтримувати естетичний вигляд тимчасової споруди, утримувати в належному санітарному стані закріплену територію до 15м навколо тимчасової споруди.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>3. Попередити</w:t>
      </w:r>
      <w:r w:rsidR="001D18FE">
        <w:rPr>
          <w:bCs/>
          <w:szCs w:val="28"/>
        </w:rPr>
        <w:t xml:space="preserve"> ХХХ</w:t>
      </w:r>
      <w:r w:rsidRPr="003F456A">
        <w:rPr>
          <w:bCs/>
          <w:szCs w:val="28"/>
        </w:rPr>
        <w:t>: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3.1. Дія дозволу на розміщення тимчасової споруди може бути призупинена при необхідності проведення планових, аварійних ремонтних робіт на місці розміщення ТС.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3.2. Для продовження терміну розміщення тимчасової споруди необхідно не пізніше, як за місяць, звернутися до виконкому Покровської міської ради.       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4. Контроль за виконанням цього рішення покласти на заступника міського голови </w:t>
      </w:r>
      <w:proofErr w:type="spellStart"/>
      <w:r w:rsidRPr="003F456A">
        <w:rPr>
          <w:bCs/>
          <w:szCs w:val="28"/>
        </w:rPr>
        <w:t>Чистякова</w:t>
      </w:r>
      <w:proofErr w:type="spellEnd"/>
      <w:r w:rsidRPr="003F456A">
        <w:rPr>
          <w:bCs/>
          <w:szCs w:val="28"/>
        </w:rPr>
        <w:t xml:space="preserve"> О.Г.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520BF" w:rsidRPr="003520BF" w:rsidRDefault="003520BF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3520BF" w:rsidRPr="003520BF" w:rsidRDefault="003520BF" w:rsidP="00F85DB7">
      <w:pPr>
        <w:tabs>
          <w:tab w:val="left" w:pos="11340"/>
        </w:tabs>
        <w:ind w:left="284" w:right="360"/>
        <w:rPr>
          <w:sz w:val="22"/>
          <w:szCs w:val="22"/>
        </w:rPr>
      </w:pPr>
      <w:r w:rsidRPr="003520BF">
        <w:rPr>
          <w:sz w:val="22"/>
          <w:szCs w:val="22"/>
        </w:rPr>
        <w:t xml:space="preserve">Ломова З.П.,4-32-46     </w:t>
      </w:r>
    </w:p>
    <w:sectPr w:rsidR="003520BF" w:rsidRPr="003520BF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05C27"/>
    <w:rsid w:val="001B6109"/>
    <w:rsid w:val="001D18FE"/>
    <w:rsid w:val="001E66D7"/>
    <w:rsid w:val="002277E7"/>
    <w:rsid w:val="00296628"/>
    <w:rsid w:val="00335154"/>
    <w:rsid w:val="003520BF"/>
    <w:rsid w:val="00354A15"/>
    <w:rsid w:val="003F456A"/>
    <w:rsid w:val="004202CA"/>
    <w:rsid w:val="004A6EC0"/>
    <w:rsid w:val="00561BCE"/>
    <w:rsid w:val="005E62EF"/>
    <w:rsid w:val="0067785B"/>
    <w:rsid w:val="006A74AD"/>
    <w:rsid w:val="006F26DE"/>
    <w:rsid w:val="007A4931"/>
    <w:rsid w:val="008159BD"/>
    <w:rsid w:val="00895578"/>
    <w:rsid w:val="008C28EA"/>
    <w:rsid w:val="008C2DE4"/>
    <w:rsid w:val="009438C0"/>
    <w:rsid w:val="0094727B"/>
    <w:rsid w:val="009C2114"/>
    <w:rsid w:val="00A8222D"/>
    <w:rsid w:val="00AE067E"/>
    <w:rsid w:val="00BC6350"/>
    <w:rsid w:val="00C25978"/>
    <w:rsid w:val="00C33994"/>
    <w:rsid w:val="00C47DE9"/>
    <w:rsid w:val="00C743E5"/>
    <w:rsid w:val="00C93CF9"/>
    <w:rsid w:val="00CA4105"/>
    <w:rsid w:val="00CE2262"/>
    <w:rsid w:val="00DA2840"/>
    <w:rsid w:val="00DB41BC"/>
    <w:rsid w:val="00E0732E"/>
    <w:rsid w:val="00E16083"/>
    <w:rsid w:val="00F85DB7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16</cp:revision>
  <cp:lastPrinted>2016-09-14T05:42:00Z</cp:lastPrinted>
  <dcterms:created xsi:type="dcterms:W3CDTF">2016-08-11T13:01:00Z</dcterms:created>
  <dcterms:modified xsi:type="dcterms:W3CDTF">2016-09-14T06:17:00Z</dcterms:modified>
</cp:coreProperties>
</file>