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5669280</wp:posOffset>
                </wp:positionH>
                <wp:positionV relativeFrom="page">
                  <wp:posOffset>409575</wp:posOffset>
                </wp:positionV>
                <wp:extent cx="657225" cy="208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446.4pt;margin-top:32.25pt;width:51.65pt;height:16.3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eastAsia="Noto Serif CJK SC" w:cs="Lohit Devanagari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 xml:space="preserve">26.11.2021 р.  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uk-UA" w:eastAsia="zh-CN" w:bidi="hi-IN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rFonts w:eastAsia="Noto Serif CJK SC" w:cs="Lohit Devanagari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536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нежитлової будівлі та нежитлового прибудованого приміщення (гараж), які розташовані по вул.Чехова, 11а в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включених до Переліку першого типу</w:t>
      </w:r>
    </w:p>
    <w:p>
      <w:pPr>
        <w:pStyle w:val="Style17"/>
        <w:bidi w:val="0"/>
        <w:spacing w:lineRule="auto" w:line="276" w:before="0" w:after="0"/>
        <w:jc w:val="left"/>
        <w:rPr/>
      </w:pPr>
      <w:r>
        <w:rPr/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 зав'язк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у із включенням до Переліку першого типу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нежитлової будівлі та нежитлового прибудованого приміщення (гараж), загальною площею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172,2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які розташовані по вул.Чехова, 11а в м.Покров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ржавного та комунального майна" від 03.10.2019 №157-ІХ, “Порядком переда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будівля та нежитлов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прибудован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приміщення (гараж),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172,2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кв.м., які розташовані по вул.Чехова, 11а в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цього рішення покласти  на заступника міського голови Чистякова О.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76" w:before="0" w:after="14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Олександр ШАПОВАЛ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 w:eastAsia="Calibri" w:cs="Times New Roman"/>
          <w:color w:val="000000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uk-UA" w:eastAsia="zh-CN" w:bidi="hi-IN"/>
        </w:rPr>
        <w:t xml:space="preserve">26.11.2021 р.  </w:t>
      </w:r>
      <w:r>
        <w:rPr>
          <w:rFonts w:eastAsia="Noto Serif CJK SC" w:cs="Lohit Devanagari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№</w:t>
      </w:r>
      <w:r>
        <w:rPr>
          <w:rFonts w:eastAsia="Noto Serif CJK SC" w:cs="Lohit Devanagari"/>
          <w:b/>
          <w:bCs/>
          <w:color w:val="auto"/>
          <w:kern w:val="2"/>
          <w:sz w:val="28"/>
          <w:szCs w:val="28"/>
          <w:lang w:val="uk-UA" w:eastAsia="zh-CN" w:bidi="hi-IN"/>
        </w:rPr>
        <w:t xml:space="preserve"> 536 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нежитлова будівля та нежитлов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 прибудован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 приміщення (гараж),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172,2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, які розташовані по вул.Чехова, 11а в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»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нежитлова будівля та нежитлов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 прибудован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 приміщення (гараж), загальною площею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hi-IN"/>
        </w:rPr>
        <w:t>172,2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кв.м.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, які розташовані по вул.Чехова, 11а в м.Покров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” (далі — Об'єкт оренди):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3876,32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із зниженням стартової ціни -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1938,16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1938,16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76" w:before="57" w:after="57"/>
        <w:jc w:val="both"/>
        <w:rPr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1.3. Розмір гарантійного внеску для участі в електронному аукціоні становить 19544,7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грн.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600,00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76" w:before="114" w:after="114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  <w:lang w:val="uk-UA"/>
        </w:rPr>
        <w:t>2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>-  б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ібліотеки. Театри. Кінотеатри, діяльність з кінопоказів;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 заклади охорони здоров’я, клініки, лікарні, приватна медична практика. Аптеки. Ветеринарні лікарні (клініки), лабораторії ветеринарної медицини, ветеринарні аптеки. Медичні лабораторії;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 науково-дослідні установи, наукові парки;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заклади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заклади харчування, їдальні, буфети, кафе, які не здійснюють продаж товарів підакцизної групи. Торговельні об’єкти, які не здійснюють продаж товарів підакцизної групи</w:t>
      </w:r>
      <w:r>
        <w:rPr>
          <w:rFonts w:cs="Times New Roman" w:ascii="Times New Roman" w:hAnsi="Times New Roman"/>
          <w:color w:val="191919"/>
          <w:sz w:val="28"/>
          <w:szCs w:val="28"/>
        </w:rPr>
        <w:t>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spacing w:lineRule="auto" w:line="276" w:before="0" w:after="143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СІДАШОВА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LibreOffice/7.1.3.2$Windows_X86_64 LibreOffice_project/47f78053abe362b9384784d31a6e56f8511eb1c1</Application>
  <AppVersion>15.0000</AppVersion>
  <Pages>3</Pages>
  <Words>489</Words>
  <Characters>3272</Characters>
  <CharactersWithSpaces>4112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2021-11-26T15:46:59Z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