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5259705</wp:posOffset>
                </wp:positionH>
                <wp:positionV relativeFrom="paragraph">
                  <wp:posOffset>89535</wp:posOffset>
                </wp:positionV>
                <wp:extent cx="656590" cy="20764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800" rIns="1800" t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14.15pt;margin-top:7.05pt;width:51.6pt;height:16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-142875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09.11.2021 р.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№5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25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неповнолітньої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померла 05.09.2020 р. (свідоцтво про смерть Серія І-КИ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від 07.09.2020р.)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рішенням 13 сесії Покровської міської ради Дніпропетровської області 8 скликання від 28.10.2021 №34 “Про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shd w:fill="auto" w:val="clear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shd w:fill="auto" w:val="clear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shd w:fill="auto" w:val="clear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shd w:fill="auto" w:val="clear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неповнолітню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неповнолітньої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 xml:space="preserve">3.Визначити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неповнолітньої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: Дніпропетровська обл., Нікопольський район,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12"/>
          <w:szCs w:val="12"/>
          <w:shd w:fill="auto" w:val="clear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shd w:fill="auto" w:val="clear"/>
          <w:lang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4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неповнолітньої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>
          <w:rStyle w:val="1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області: забезпечити здійснення соціального супроводу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1"/>
          <w:rFonts w:ascii="Times New Roman Cyr" w:hAnsi="Times New Roman Cyr" w:eastAsia="Calibri" w:cs="Times New Roman Cyr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6.Комунальному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12"/>
          <w:szCs w:val="12"/>
          <w:lang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ab/>
        <w:t>7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итину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9.Центру соціальних служб Покровської міської ради Дніпропетровської області, Управлінню освіти виконавчого комітету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відділенню №2 Нікопольського районного управління поліції ГУНП в Дніпропетровській області, комунальному закладу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«Малий груповий будинок «Надія» Покровської міської ради Дніпропетровської області»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до 09 листопада щорічно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дитини в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для підготовки щорічного  звіту.</w:t>
      </w:r>
    </w:p>
    <w:p>
      <w:pPr>
        <w:pStyle w:val="Normal"/>
        <w:suppressAutoHyphens w:val="true"/>
        <w:ind w:hanging="0"/>
        <w:jc w:val="both"/>
        <w:textAlignment w:val="au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10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з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 напрямком роботи.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LibreOffice/7.1.5.2$Linux_X86_64 LibreOffice_project/10$Build-2</Application>
  <AppVersion>15.0000</AppVersion>
  <Pages>2</Pages>
  <Words>543</Words>
  <Characters>4040</Characters>
  <CharactersWithSpaces>4788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2021-11-08T16:52:55Z</cp:lastPrinted>
  <dcterms:modified xsi:type="dcterms:W3CDTF">2021-11-12T11:23:11Z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