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5133340</wp:posOffset>
                </wp:positionH>
                <wp:positionV relativeFrom="paragraph">
                  <wp:posOffset>-226695</wp:posOffset>
                </wp:positionV>
                <wp:extent cx="696595" cy="29654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80" cy="29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rPr/>
                            </w:pPr>
                            <w:r>
                              <w:rPr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404.2pt;margin-top:-17.85pt;width:54.75pt;height:23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rPr/>
                      </w:pPr>
                      <w:r>
                        <w:rPr>
                          <w:sz w:val="20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2890520</wp:posOffset>
            </wp:positionH>
            <wp:positionV relativeFrom="paragraph">
              <wp:posOffset>-151130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26.10.2021р.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507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надання дозволу на укладання договору дарування  2/3 частки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які зареєстровані за адресою: Дніпропетровська обл., м.Покров, вул.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 Дніпропетровської області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Відповідно до свідоцтва про право власності на житло від 22.11.1993 р. №2463, квартира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належить на праві спільної (сумісної або часткової) власності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ки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ть надати дозвіл на укладання договору дарування 2/3 частки квартири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належної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їм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праві власності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сина,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 За вищевказаною адресою зареєстрований неповнолітній онук,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права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ого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не порушуються при укладанні вищезазначеного договору.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ст.177 Сімейного кодексу України, виконавчий комітет Покровської міської ради 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textAlignment w:val="auto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дозвіл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на укладання договору дарування 2/3 частки квартири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на користь 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 виконавчого комітету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</w:t>
      </w:r>
      <w:r>
        <w:rPr>
          <w:rFonts w:ascii="Times New Roman" w:hAnsi="Times New Roman"/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rFonts w:ascii="Times New Roman" w:hAnsi="Times New Roman"/>
          <w:sz w:val="28"/>
          <w:szCs w:val="28"/>
          <w:lang w:val="ru-RU"/>
        </w:rPr>
        <w:t>Горчакову Д.В.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контроль на заступника міського голови Бондаренко Н.О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1840">
    <w:name w:val="1840"/>
    <w:qFormat/>
    <w:rPr>
      <w:rFonts w:eastAsia="Times New Roman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3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uk-UA" w:eastAsia="hi-IN" w:bidi="hi-IN"/>
    </w:rPr>
  </w:style>
  <w:style w:type="paragraph" w:styleId="Style24">
    <w:name w:val="Текст выноски"/>
    <w:basedOn w:val="Normal"/>
    <w:qFormat/>
    <w:pPr/>
    <w:rPr>
      <w:rFonts w:ascii="Tahoma" w:hAnsi="Tahoma" w:eastAsia="Mangal"/>
      <w:sz w:val="16"/>
      <w:szCs w:val="14"/>
      <w:lang w:eastAsia="hi-IN"/>
    </w:rPr>
  </w:style>
  <w:style w:type="paragraph" w:styleId="2">
    <w:name w:val="Основной текст 2"/>
    <w:qFormat/>
    <w:pPr>
      <w:widowControl/>
      <w:suppressAutoHyphens w:val="true"/>
      <w:bidi w:val="0"/>
      <w:spacing w:before="0" w:after="0"/>
      <w:ind w:firstLine="720"/>
      <w:jc w:val="center"/>
    </w:pPr>
    <w:rPr>
      <w:rFonts w:ascii="Liberation Serif" w:hAnsi="Liberation Serif" w:eastAsia="Arial" w:cs="Arial"/>
      <w:color w:val="auto"/>
      <w:kern w:val="2"/>
      <w:sz w:val="24"/>
      <w:szCs w:val="20"/>
      <w:lang w:val="uk-UA" w:eastAsia="hi-IN" w:bidi="hi-IN"/>
    </w:rPr>
  </w:style>
  <w:style w:type="paragraph" w:styleId="Style25">
    <w:name w:val="Название объекта"/>
    <w:qFormat/>
    <w:pPr>
      <w:widowControl/>
      <w:suppressAutoHyphens w:val="true"/>
      <w:bidi w:val="0"/>
      <w:spacing w:before="120" w:after="120"/>
      <w:jc w:val="left"/>
    </w:pPr>
    <w:rPr>
      <w:rFonts w:ascii="Liberation Serif" w:hAnsi="Liberation Serif" w:eastAsia="Arial" w:cs="Arial"/>
      <w:i/>
      <w:iCs/>
      <w:color w:val="auto"/>
      <w:kern w:val="2"/>
      <w:sz w:val="24"/>
      <w:szCs w:val="24"/>
      <w:lang w:val="uk-UA" w:eastAsia="hi-IN" w:bidi="hi-IN"/>
    </w:rPr>
  </w:style>
  <w:style w:type="paragraph" w:styleId="Style26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Application>LibreOffice/7.1.3.2$Windows_X86_64 LibreOffice_project/47f78053abe362b9384784d31a6e56f8511eb1c1</Application>
  <AppVersion>15.0000</AppVersion>
  <Pages>1</Pages>
  <Words>270</Words>
  <Characters>1821</Characters>
  <CharactersWithSpaces>2191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2021-10-20T15:03:26Z</cp:lastPrinted>
  <dcterms:modified xsi:type="dcterms:W3CDTF">2021-11-02T18:07:24Z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