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5295265</wp:posOffset>
                </wp:positionH>
                <wp:positionV relativeFrom="paragraph">
                  <wp:posOffset>-121920</wp:posOffset>
                </wp:positionV>
                <wp:extent cx="763270" cy="1727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" cy="172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16.95pt;margin-top:-9.6pt;width:60pt;height:13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-132080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26.10.2021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506</w:t>
      </w:r>
    </w:p>
    <w:p>
      <w:pPr>
        <w:pStyle w:val="Normal"/>
        <w:jc w:val="both"/>
        <w:textAlignment w:val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textAlignment w:val="au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висновків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органу опіки та піклування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Покровської міської ради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161, 164, 171 Сімейного кодексу України,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</w:t>
      </w:r>
      <w:hyperlink r:id="rId4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eastAsia="Times New Roman" w:ascii="Times New Roman" w:hAnsi="Times New Roman"/>
            <w:color w:val="000000"/>
            <w:sz w:val="28"/>
            <w:szCs w:val="28"/>
            <w:highlight w:val="white"/>
            <w:lang w:val="uk-UA" w:eastAsia="ru-RU"/>
          </w:rPr>
          <w:t xml:space="preserve"> </w:t>
        </w:r>
      </w:hyperlink>
      <w:hyperlink r:id="rId6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від 24.</w:t>
        </w:r>
      </w:hyperlink>
      <w:r>
        <w:rPr>
          <w:rFonts w:eastAsia="Times New Roman" w:ascii="Times New Roman" w:hAnsi="Times New Roman"/>
          <w:bCs/>
          <w:color w:val="000000"/>
          <w:sz w:val="28"/>
          <w:szCs w:val="28"/>
          <w:highlight w:val="white"/>
          <w:lang w:val="uk-UA" w:eastAsia="ru-RU"/>
        </w:rPr>
        <w:t>09.2008 р. №866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, на підставі рішень комісії з питань захисту прав дитини (протокол №13 від 13.10.2021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Затвердити висновок органу опіки та піклування Покровської міської ради Дніпропетровської області щодо визначення місця проживання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 з матір</w:t>
      </w:r>
      <w:r>
        <w:rPr>
          <w:rFonts w:eastAsia="Times New Roman" w:cs="Times New Roman Cyr" w:ascii="Times New Roman Cyr" w:hAnsi="Times New Roman Cyr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ю,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який додається.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2.Затвердити висновок органу опіки та піклування Покровської міської ради Дніпропетровської області щодо недоцільності позбавлення батьківських прав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 відносно малолітнього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Standard"/>
    <w:qFormat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5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hyperlink" Target="http://zakon5.rada.gov.ua/laws/show/866-2008-&#1087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LibreOffice/7.1.3.2$Windows_X86_64 LibreOffice_project/47f78053abe362b9384784d31a6e56f8511eb1c1</Application>
  <AppVersion>15.0000</AppVersion>
  <Pages>1</Pages>
  <Words>187</Words>
  <Characters>1320</Characters>
  <CharactersWithSpaces>1668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2021-10-13T12:51:16Z</cp:lastPrinted>
  <dcterms:modified xsi:type="dcterms:W3CDTF">2021-11-02T18:02:03Z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