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02-11.2</w:t>
      </w:r>
    </w:p>
    <w:p>
      <w:pPr>
        <w:pStyle w:val="Normal"/>
        <w:jc w:val="center"/>
        <w:rPr>
          <w:sz w:val="28"/>
          <w:szCs w:val="28"/>
          <w:lang w:val="uk-UA"/>
        </w:rPr>
      </w:pPr>
      <w:r>
        <w:rPr>
          <w:sz w:val="28"/>
          <w:szCs w:val="28"/>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rPr>
        <w:t>Затвердження технічної документації з нормативної грошової оцінки земельної ділянки у межах населених пунктів</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lang w:val="uk-UA"/>
        </w:rPr>
      </w:pPr>
      <w:r>
        <w:rPr>
          <w:b/>
          <w:bCs/>
          <w:lang w:val="uk-UA"/>
        </w:rPr>
      </w:r>
    </w:p>
    <w:p>
      <w:pPr>
        <w:pStyle w:val="Normal"/>
        <w:jc w:val="center"/>
        <w:rPr>
          <w:sz w:val="28"/>
          <w:szCs w:val="28"/>
        </w:rPr>
      </w:pPr>
      <w:r>
        <w:rPr>
          <w:b/>
          <w:bCs w:val="false"/>
          <w:color w:val="000000"/>
          <w:sz w:val="28"/>
          <w:szCs w:val="28"/>
          <w:u w:val="single"/>
          <w:shd w:fill="auto" w:val="clear"/>
          <w:lang w:val="uk-UA" w:eastAsia="en-US"/>
        </w:rPr>
        <w:t>00179</w:t>
      </w:r>
    </w:p>
    <w:p>
      <w:pPr>
        <w:pStyle w:val="Normal"/>
        <w:rPr>
          <w:sz w:val="20"/>
          <w:szCs w:val="20"/>
          <w:highlight w:val="yellow"/>
          <w:lang w:val="uk-UA"/>
        </w:rPr>
      </w:pPr>
      <w:r>
        <w:rPr>
          <w:sz w:val="20"/>
          <w:szCs w:val="20"/>
          <w:highlight w:val="yellow"/>
          <w:lang w:val="uk-UA"/>
        </w:rPr>
      </w:r>
      <w:bookmarkStart w:id="0" w:name="_Hlk157529416"/>
      <w:bookmarkStart w:id="1" w:name="_GoBack"/>
      <w:bookmarkStart w:id="2" w:name="_Hlk157529416"/>
      <w:bookmarkStart w:id="3" w:name="_GoBack"/>
      <w:bookmarkEnd w:id="2"/>
      <w:bookmarkEnd w:id="3"/>
    </w:p>
    <w:tbl>
      <w:tblPr>
        <w:tblpPr w:bottomFromText="0" w:horzAnchor="text" w:leftFromText="180" w:rightFromText="180" w:tblpX="0" w:tblpY="1" w:topFromText="0" w:vertAnchor="text"/>
        <w:tblW w:w="963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6"/>
        <w:gridCol w:w="1"/>
        <w:gridCol w:w="2559"/>
        <w:gridCol w:w="1111"/>
        <w:gridCol w:w="1280"/>
        <w:gridCol w:w="1"/>
        <w:gridCol w:w="2133"/>
        <w:gridCol w:w="1936"/>
        <w:gridCol w:w="1"/>
        <w:gridCol w:w="1"/>
      </w:tblGrid>
      <w:tr>
        <w:trPr/>
        <w:tc>
          <w:tcPr>
            <w:tcW w:w="963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з12.00 до 13.00</w:t>
            </w:r>
          </w:p>
          <w:p>
            <w:pPr>
              <w:pStyle w:val="Normal"/>
              <w:widowControl w:val="false"/>
              <w:rPr>
                <w:lang w:val="uk-UA"/>
              </w:rPr>
            </w:pPr>
            <w:r>
              <w:rPr>
                <w:lang w:eastAsia="uk-UA"/>
              </w:rPr>
              <w:t>Вихідні дні - субота, неділя</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p>
        </w:tc>
      </w:tr>
      <w:tr>
        <w:trPr>
          <w:trHeight w:val="494" w:hRule="atLeast"/>
        </w:trPr>
        <w:tc>
          <w:tcPr>
            <w:tcW w:w="963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5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39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7"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1" w:type="dxa"/>
            <w:tcBorders/>
            <w:shd w:fill="auto" w:val="clear"/>
          </w:tcPr>
          <w:p>
            <w:pPr>
              <w:pStyle w:val="Normal"/>
              <w:widowControl w:val="false"/>
              <w:rPr>
                <w:highlight w:val="none"/>
                <w:shd w:fill="FFFF00" w:val="clear"/>
              </w:rPr>
            </w:pPr>
            <w:r>
              <w:rPr>
                <w:shd w:fill="FFFF00" w:val="clear"/>
              </w:rPr>
            </w:r>
          </w:p>
        </w:tc>
      </w:tr>
      <w:tr>
        <w:trPr/>
        <w:tc>
          <w:tcPr>
            <w:tcW w:w="6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5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39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1" w:type="dxa"/>
            <w:tcBorders/>
            <w:shd w:fill="auto" w:val="clear"/>
          </w:tcPr>
          <w:p>
            <w:pPr>
              <w:pStyle w:val="Normal"/>
              <w:widowControl w:val="false"/>
              <w:rPr>
                <w:highlight w:val="none"/>
                <w:shd w:fill="FFFF00" w:val="clear"/>
              </w:rPr>
            </w:pPr>
            <w:r>
              <w:rPr>
                <w:shd w:fill="FFFF00" w:val="clear"/>
              </w:rPr>
            </w:r>
          </w:p>
        </w:tc>
      </w:tr>
      <w:tr>
        <w:trPr>
          <w:trHeight w:val="402" w:hRule="atLeast"/>
        </w:trPr>
        <w:tc>
          <w:tcPr>
            <w:tcW w:w="963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3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w:t>
            </w:r>
            <w:r>
              <w:rPr>
                <w:rFonts w:cs="Times New Roman"/>
                <w:lang w:val="uk-UA"/>
              </w:rPr>
              <w:t>Закон України «Про землеустрій», Закон України “Про оцінку земель”</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3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pPr>
            <w:r>
              <w:rPr>
                <w:rFonts w:cs="Times New Roman"/>
                <w:lang w:val="uk-UA"/>
              </w:rPr>
              <w:t>1.Примірник технічної документації з нормативної грошової оцінки земельної ділянки у межах населених пунктів</w:t>
            </w:r>
            <w:r>
              <w:rPr>
                <w:rFonts w:eastAsia="NSimSun" w:cs="Times New Roman"/>
                <w:color w:val="auto"/>
                <w:kern w:val="2"/>
                <w:sz w:val="24"/>
                <w:szCs w:val="24"/>
                <w:lang w:val="uk-UA" w:eastAsia="zh-CN" w:bidi="hi-IN"/>
              </w:rPr>
              <w:t>;</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pPr>
            <w:r>
              <w:rPr>
                <w:rFonts w:eastAsia="NSimSun" w:cs="Times New Roman"/>
                <w:color w:val="auto"/>
                <w:kern w:val="2"/>
                <w:sz w:val="24"/>
                <w:szCs w:val="24"/>
                <w:lang w:val="uk-UA" w:eastAsia="zh-CN" w:bidi="hi-IN"/>
              </w:rPr>
              <w:t>2.Витяг з Державного земельного кадастру про земельну ділянку.</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lang w:val="uk-UA"/>
              </w:rPr>
            </w:pPr>
            <w:r>
              <w:rPr>
                <w:rFonts w:cs="Times New Roman"/>
                <w:bCs/>
                <w:color w:val="000000"/>
                <w:sz w:val="24"/>
                <w:shd w:fill="FFFFFF" w:val="clear"/>
                <w:lang w:val="uk-UA"/>
              </w:rPr>
              <w:t>3.Копія довіреності (у разі подання заяви уповноваженою особою), копії документів, що посвідчують уповноважену особу.</w:t>
            </w:r>
          </w:p>
        </w:tc>
      </w:tr>
      <w:tr>
        <w:trPr>
          <w:trHeight w:val="697" w:hRule="atLeast"/>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1.В разі позитивного розгляду звернення – рішення </w:t>
            </w:r>
            <w:r>
              <w:rPr>
                <w:b w:val="false"/>
                <w:bCs w:val="false"/>
                <w:u w:val="none"/>
                <w:lang w:val="uk-UA"/>
              </w:rPr>
              <w:t>про затвердження “</w:t>
            </w:r>
            <w:r>
              <w:rPr>
                <w:b w:val="false"/>
                <w:bCs w:val="false"/>
                <w:sz w:val="24"/>
                <w:szCs w:val="24"/>
                <w:u w:val="none"/>
                <w:lang w:val="uk-UA"/>
              </w:rPr>
              <w:t>Т</w:t>
            </w:r>
            <w:r>
              <w:rPr>
                <w:b w:val="false"/>
                <w:bCs w:val="false"/>
                <w:sz w:val="24"/>
                <w:szCs w:val="24"/>
                <w:u w:val="none"/>
                <w:lang w:val="zxx"/>
              </w:rPr>
              <w:t>ехнічн</w:t>
            </w:r>
            <w:r>
              <w:rPr>
                <w:b w:val="false"/>
                <w:bCs w:val="false"/>
                <w:sz w:val="24"/>
                <w:szCs w:val="24"/>
                <w:u w:val="none"/>
                <w:lang w:val="uk-UA"/>
              </w:rPr>
              <w:t>ої</w:t>
            </w:r>
            <w:r>
              <w:rPr>
                <w:b w:val="false"/>
                <w:bCs w:val="false"/>
                <w:sz w:val="24"/>
                <w:szCs w:val="24"/>
                <w:u w:val="none"/>
                <w:lang w:val="zxx"/>
              </w:rPr>
              <w:t xml:space="preserve"> документаці</w:t>
            </w:r>
            <w:r>
              <w:rPr>
                <w:b w:val="false"/>
                <w:bCs w:val="false"/>
                <w:sz w:val="24"/>
                <w:szCs w:val="24"/>
                <w:u w:val="none"/>
                <w:lang w:val="uk-UA"/>
              </w:rPr>
              <w:t>ї</w:t>
            </w:r>
            <w:r>
              <w:rPr>
                <w:b w:val="false"/>
                <w:bCs w:val="false"/>
                <w:sz w:val="24"/>
                <w:szCs w:val="24"/>
                <w:u w:val="none"/>
                <w:lang w:val="zxx"/>
              </w:rPr>
              <w:t xml:space="preserve"> </w:t>
            </w:r>
            <w:r>
              <w:rPr>
                <w:b w:val="false"/>
                <w:bCs w:val="false"/>
                <w:sz w:val="24"/>
                <w:szCs w:val="24"/>
                <w:u w:val="none"/>
                <w:lang w:val="uk-UA"/>
              </w:rPr>
              <w:t>із землеустрою щодо розрахунку</w:t>
            </w:r>
            <w:r>
              <w:rPr>
                <w:b w:val="false"/>
                <w:bCs w:val="false"/>
                <w:sz w:val="24"/>
                <w:szCs w:val="24"/>
                <w:u w:val="none"/>
                <w:lang w:val="zxx"/>
              </w:rPr>
              <w:t xml:space="preserve"> нормативної грошової оцінки </w:t>
            </w:r>
            <w:r>
              <w:rPr>
                <w:b w:val="false"/>
                <w:bCs w:val="false"/>
                <w:sz w:val="24"/>
                <w:szCs w:val="24"/>
                <w:u w:val="none"/>
                <w:lang w:val="uk-UA"/>
              </w:rPr>
              <w:t>земельної ділянки”.</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highlight w:val="white"/>
                <w:lang w:val="uk-UA"/>
              </w:rPr>
            </w:pPr>
            <w:r>
              <w:rPr>
                <w:shd w:fill="FFFFFF" w:val="clear"/>
                <w:lang w:val="uk-UA"/>
              </w:rPr>
              <w:t>Оскарження рішення про відмову можливе у  терміни визначені статтею 80 Закону України “</w:t>
            </w:r>
            <w:r>
              <w:rPr>
                <w:color w:val="000000"/>
                <w:shd w:fill="FFFFFF" w:val="clear"/>
                <w:lang w:val="uk-UA"/>
              </w:rPr>
              <w:t>Про адміністративну процедуру”, а саме:</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ind w:firstLine="284"/>
              <w:jc w:val="both"/>
              <w:rPr>
                <w:color w:val="000000"/>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до органу вищого рівня або позовної заяви до адміністративного суду</w:t>
            </w:r>
            <w:commentRangeEnd w:id="4"/>
            <w:r>
              <w:commentReference w:id="4"/>
            </w:r>
            <w:r>
              <w:rPr>
                <w:color w:val="000000"/>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6995" cy="174625"/>
              <wp:effectExtent l="0" t="0" r="0" b="0"/>
              <wp:wrapSquare wrapText="largest"/>
              <wp:docPr id="1" name="Рамка1"/>
              <a:graphic xmlns:a="http://schemas.openxmlformats.org/drawingml/2006/main">
                <a:graphicData uri="http://schemas.microsoft.com/office/word/2010/wordprocessingShape">
                  <wps:wsp>
                    <wps:cNvSpPr/>
                    <wps:spPr>
                      <a:xfrm>
                        <a:off x="0" y="0"/>
                        <a:ext cx="8640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55pt;margin-top:0.05pt;width:6.75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TotalTime>
  <Application>LibreOffice/7.2.5.2$Windows_X86_64 LibreOffice_project/499f9727c189e6ef3471021d6132d4c694f357e5</Application>
  <AppVersion>15.0000</AppVersion>
  <Pages>5</Pages>
  <Words>1059</Words>
  <Characters>7314</Characters>
  <CharactersWithSpaces>8506</CharactersWithSpaces>
  <Paragraphs>115</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2024-05-09T15:51:01Z</cp:lastPrinted>
  <dcterms:modified xsi:type="dcterms:W3CDTF">2024-05-09T15:51:10Z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