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40" w:before="0" w:after="0"/>
        <w:jc w:val="center"/>
        <w:outlineLvl w:val="0"/>
        <w:rPr>
          <w:highlight w:val="none"/>
          <w:shd w:fill="auto" w:val="clear"/>
        </w:rPr>
      </w:pPr>
      <w:r>
        <w:rPr>
          <w:shd w:fill="auto" w:val="clear"/>
        </w:rPr>
        <w:drawing>
          <wp:inline distT="0" distB="0" distL="0" distR="0">
            <wp:extent cx="426720" cy="6032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40" w:before="0" w:after="0"/>
        <w:jc w:val="center"/>
        <w:outlineLvl w:val="0"/>
        <w:rPr>
          <w:highlight w:val="none"/>
          <w:shd w:fill="auto" w:val="clear"/>
        </w:rPr>
      </w:pPr>
      <w:r>
        <w:rPr>
          <w:rFonts w:eastAsia="Andale Sans UI" w:cs="Times New Roman" w:ascii="Times New Roman" w:hAnsi="Times New Roman"/>
          <w:b/>
          <w:bCs/>
          <w:kern w:val="2"/>
          <w:sz w:val="28"/>
          <w:szCs w:val="28"/>
          <w:shd w:fill="auto" w:val="clear"/>
          <w:lang w:eastAsia="zh-CN"/>
        </w:rPr>
        <w:t>ВИКОНАВЧИЙ КОМІТЕТ ПОКРОВСЬКОЇ МІСЬКОЇ РАДИ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40" w:before="0" w:after="0"/>
        <w:jc w:val="center"/>
        <w:outlineLvl w:val="0"/>
        <w:rPr>
          <w:highlight w:val="none"/>
          <w:shd w:fill="auto" w:val="clear"/>
        </w:rPr>
      </w:pPr>
      <w:r>
        <w:rPr>
          <w:rFonts w:eastAsia="Andale Sans UI" w:cs="Times New Roman" w:ascii="Times New Roman" w:hAnsi="Times New Roman"/>
          <w:b/>
          <w:bCs/>
          <w:kern w:val="2"/>
          <w:sz w:val="28"/>
          <w:szCs w:val="28"/>
          <w:shd w:fill="auto" w:val="clear"/>
          <w:lang w:eastAsia="zh-CN"/>
        </w:rPr>
        <w:t>ДНІПРОПЕТРОВСЬКОЇ ОБЛАСТІ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40" w:before="0" w:after="0"/>
        <w:jc w:val="center"/>
        <w:outlineLvl w:val="0"/>
        <w:rPr>
          <w:rFonts w:ascii="Times New Roman" w:hAnsi="Times New Roman" w:eastAsia="Andale Sans UI" w:cs="Times New Roman"/>
          <w:b/>
          <w:b/>
          <w:bCs/>
          <w:kern w:val="2"/>
          <w:sz w:val="12"/>
          <w:szCs w:val="12"/>
          <w:highlight w:val="none"/>
          <w:shd w:fill="auto" w:val="clear"/>
          <w:lang w:eastAsia="zh-CN"/>
        </w:rPr>
      </w:pPr>
      <w:r>
        <w:rPr>
          <w:rFonts w:eastAsia="Andale Sans UI" w:cs="Times New Roman" w:ascii="Times New Roman" w:hAnsi="Times New Roman"/>
          <w:b/>
          <w:bCs/>
          <w:kern w:val="2"/>
          <w:sz w:val="12"/>
          <w:szCs w:val="12"/>
          <w:shd w:fill="auto" w:val="clear"/>
          <w:lang w:eastAsia="zh-CN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40" w:before="0" w:after="0"/>
        <w:jc w:val="center"/>
        <w:outlineLvl w:val="0"/>
        <w:rPr>
          <w:highlight w:val="none"/>
          <w:shd w:fill="auto" w:val="clear"/>
        </w:rPr>
      </w:pPr>
      <w:r>
        <w:rPr>
          <w:rFonts w:eastAsia="Andale Sans UI" w:cs="Times New Roman" w:ascii="Times New Roman" w:hAnsi="Times New Roman"/>
          <w:b/>
          <w:bCs/>
          <w:kern w:val="2"/>
          <w:sz w:val="28"/>
          <w:szCs w:val="28"/>
          <w:shd w:fill="auto" w:val="clear"/>
          <w:lang w:eastAsia="zh-CN"/>
        </w:rPr>
        <w:t>РІШЕННЯ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outlineLvl w:val="0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shd w:fill="auto" w:val="clear"/>
          <w:lang w:eastAsia="zh-CN"/>
        </w:rPr>
        <w:t xml:space="preserve">22.10.2025                    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shd w:fill="auto" w:val="clear"/>
          <w:lang w:eastAsia="zh-CN"/>
        </w:rPr>
        <w:t xml:space="preserve">                   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  <w:shd w:fill="auto" w:val="clear"/>
          <w:lang w:eastAsia="zh-CN"/>
        </w:rPr>
        <w:t xml:space="preserve">м.Покров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shd w:fill="auto" w:val="clear"/>
          <w:lang w:eastAsia="zh-CN"/>
        </w:rPr>
        <w:t xml:space="preserve">                                 №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shd w:fill="auto" w:val="clear"/>
          <w:lang w:eastAsia="zh-CN"/>
        </w:rPr>
        <w:t>410/06-53-25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40" w:before="0" w:after="0"/>
        <w:jc w:val="center"/>
        <w:outlineLvl w:val="0"/>
        <w:rPr>
          <w:rFonts w:ascii="Times New Roman" w:hAnsi="Times New Roman" w:eastAsia="Andale Sans UI" w:cs="Times New Roman"/>
          <w:kern w:val="2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Andale Sans UI" w:cs="Times New Roman" w:ascii="Times New Roman" w:hAnsi="Times New Roman"/>
          <w:kern w:val="2"/>
          <w:sz w:val="24"/>
          <w:szCs w:val="24"/>
          <w:shd w:fill="auto" w:val="clear"/>
          <w:lang w:eastAsia="zh-CN"/>
        </w:rPr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zh-CN" w:bidi="hi-IN"/>
        </w:rPr>
        <w:t xml:space="preserve">Про стан виконання 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>Комплексної програми соціального</w:t>
      </w:r>
      <w:r>
        <w:rPr>
          <w:rFonts w:cs="Times New Roman" w:ascii="Times New Roman" w:hAnsi="Times New Roman"/>
          <w:spacing w:val="8"/>
          <w:sz w:val="26"/>
          <w:szCs w:val="26"/>
          <w:shd w:fill="auto" w:val="clear"/>
        </w:rPr>
        <w:t xml:space="preserve"> 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>захисту та підтримки</w:t>
      </w:r>
      <w:r>
        <w:rPr>
          <w:rFonts w:cs="Times New Roman" w:ascii="Times New Roman" w:hAnsi="Times New Roman"/>
          <w:spacing w:val="8"/>
          <w:sz w:val="26"/>
          <w:szCs w:val="26"/>
          <w:shd w:fill="auto" w:val="clear"/>
        </w:rPr>
        <w:t xml:space="preserve">  військовослужбовців, </w:t>
      </w:r>
      <w:r>
        <w:rPr>
          <w:rFonts w:cs="Times New Roman" w:ascii="Times New Roman" w:hAnsi="Times New Roman"/>
          <w:color w:val="000000"/>
          <w:sz w:val="26"/>
          <w:szCs w:val="26"/>
          <w:shd w:fill="auto" w:val="clear"/>
        </w:rPr>
        <w:t xml:space="preserve">ветеранів війни, Захисників та Захисниць України, </w:t>
      </w:r>
      <w:r>
        <w:rPr>
          <w:rFonts w:cs="Times New Roman" w:ascii="Times New Roman" w:hAnsi="Times New Roman"/>
          <w:sz w:val="26"/>
          <w:szCs w:val="26"/>
          <w:shd w:fill="auto" w:val="clear"/>
          <w:lang w:eastAsia="ru-RU"/>
        </w:rPr>
        <w:t>сімей загиблих (померлих, зниклих безвісти за особливих обставин) Захисників і Захисниць України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 Покровської міської територіальної громади на 2024–2028 роки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zh-CN" w:bidi="hi-IN"/>
        </w:rPr>
        <w:t xml:space="preserve"> у 2025 році</w:t>
      </w:r>
    </w:p>
    <w:p>
      <w:pPr>
        <w:pStyle w:val="Normal"/>
        <w:suppressAutoHyphens w:val="tru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zh-CN" w:bidi="hi-IN"/>
        </w:rPr>
        <w:t xml:space="preserve">  </w:t>
      </w:r>
    </w:p>
    <w:p>
      <w:pPr>
        <w:pStyle w:val="Normal"/>
        <w:suppressAutoHyphens w:val="tru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zh-CN" w:bidi="hi-IN"/>
        </w:rPr>
        <w:t xml:space="preserve">       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zh-CN" w:bidi="hi-IN"/>
        </w:rPr>
        <w:t xml:space="preserve">Керуючись законом України «Про місцеве самоврядування в Україні», заслухавши аналітичну довідку заступника міського голови Ганни ВІДЯЄВОЇ про стан виконання 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>Комплексної програми соціального</w:t>
      </w:r>
      <w:r>
        <w:rPr>
          <w:rFonts w:cs="Times New Roman" w:ascii="Times New Roman" w:hAnsi="Times New Roman"/>
          <w:spacing w:val="8"/>
          <w:sz w:val="26"/>
          <w:szCs w:val="26"/>
          <w:shd w:fill="auto" w:val="clear"/>
        </w:rPr>
        <w:t xml:space="preserve"> 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>захисту та підтримки</w:t>
      </w:r>
      <w:r>
        <w:rPr>
          <w:rFonts w:cs="Times New Roman" w:ascii="Times New Roman" w:hAnsi="Times New Roman"/>
          <w:spacing w:val="8"/>
          <w:sz w:val="26"/>
          <w:szCs w:val="26"/>
          <w:shd w:fill="auto" w:val="clear"/>
        </w:rPr>
        <w:t xml:space="preserve">  військовослужбовців, </w:t>
      </w:r>
      <w:r>
        <w:rPr>
          <w:rFonts w:cs="Times New Roman" w:ascii="Times New Roman" w:hAnsi="Times New Roman"/>
          <w:color w:val="000000"/>
          <w:sz w:val="26"/>
          <w:szCs w:val="26"/>
          <w:shd w:fill="auto" w:val="clear"/>
        </w:rPr>
        <w:t xml:space="preserve">ветеранів війни, Захисників та Захисниць України, </w:t>
      </w:r>
      <w:r>
        <w:rPr>
          <w:rFonts w:cs="Times New Roman" w:ascii="Times New Roman" w:hAnsi="Times New Roman"/>
          <w:sz w:val="26"/>
          <w:szCs w:val="26"/>
          <w:shd w:fill="auto" w:val="clear"/>
          <w:lang w:eastAsia="ru-RU"/>
        </w:rPr>
        <w:t>сімей загиблих (померлих, зниклих безвісти за особливих обставин) Захисників і Захисниць України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 Покровської міської територіальної громади на 2024–2028 роки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zh-CN" w:bidi="hi-IN"/>
        </w:rPr>
        <w:t xml:space="preserve"> у 2025 році, затвердженої рішенням 54 сесії міської ради 8 скликання від 24 травня 2024 року №4 (зі змінами та доповненнями від 24.01.2025 №6),  виконавчий комітет Покровської міської ради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fill="auto" w:val="clear"/>
          <w:lang w:eastAsia="zh-CN" w:bidi="hi-I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zh-CN" w:bidi="hi-IN"/>
        </w:rPr>
      </w:r>
    </w:p>
    <w:p>
      <w:pPr>
        <w:pStyle w:val="Normal"/>
        <w:suppressAutoHyphens w:val="tru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auto" w:val="clear"/>
          <w:lang w:eastAsia="zh-CN" w:bidi="hi-IN"/>
        </w:rPr>
        <w:t>ВИРІШИВ: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fill="auto" w:val="clear"/>
          <w:lang w:eastAsia="zh-CN" w:bidi="hi-I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zh-CN" w:bidi="hi-IN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ind w:left="0" w:firstLine="720"/>
        <w:contextualSpacing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zh-CN" w:bidi="hi-IN"/>
        </w:rPr>
        <w:t xml:space="preserve">Інформацію про виконання  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>Комплексної програми соціального</w:t>
      </w:r>
      <w:r>
        <w:rPr>
          <w:rFonts w:cs="Times New Roman" w:ascii="Times New Roman" w:hAnsi="Times New Roman"/>
          <w:spacing w:val="8"/>
          <w:sz w:val="26"/>
          <w:szCs w:val="26"/>
          <w:shd w:fill="auto" w:val="clear"/>
        </w:rPr>
        <w:t xml:space="preserve"> 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>захисту та підтримки</w:t>
      </w:r>
      <w:r>
        <w:rPr>
          <w:rFonts w:cs="Times New Roman" w:ascii="Times New Roman" w:hAnsi="Times New Roman"/>
          <w:spacing w:val="8"/>
          <w:sz w:val="26"/>
          <w:szCs w:val="26"/>
          <w:shd w:fill="auto" w:val="clear"/>
        </w:rPr>
        <w:t xml:space="preserve">  військовослужбовців, </w:t>
      </w:r>
      <w:r>
        <w:rPr>
          <w:rFonts w:cs="Times New Roman" w:ascii="Times New Roman" w:hAnsi="Times New Roman"/>
          <w:color w:val="000000"/>
          <w:sz w:val="26"/>
          <w:szCs w:val="26"/>
          <w:shd w:fill="auto" w:val="clear"/>
        </w:rPr>
        <w:t xml:space="preserve">ветеранів війни, Захисників та Захисниць України, </w:t>
      </w:r>
      <w:r>
        <w:rPr>
          <w:rFonts w:cs="Times New Roman" w:ascii="Times New Roman" w:hAnsi="Times New Roman"/>
          <w:sz w:val="26"/>
          <w:szCs w:val="26"/>
          <w:shd w:fill="auto" w:val="clear"/>
          <w:lang w:eastAsia="ru-RU"/>
        </w:rPr>
        <w:t>сімей загиблих (померлих, зниклих безвісти за особливих обставин) Захисників і Захисниць України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 Покровської міської територіальної громади на 2024–2028 роки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zh-CN" w:bidi="hi-IN"/>
        </w:rPr>
        <w:t>у 2025 році ( далі – Програма) взяти до відома (аналітична довідка додається).</w:t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ind w:left="0" w:firstLine="720"/>
        <w:contextualSpacing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zh-CN" w:bidi="hi-IN"/>
        </w:rPr>
        <w:t xml:space="preserve">Доручити управлінню праці та соціального захисту населення  виконавчого комітету Покровської міської ради Дніпропетровської області (Тетяна ІГНАТЮК) підготувати зміни та доповнення до розділу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en-US" w:eastAsia="zh-CN" w:bidi="hi-IN"/>
        </w:rPr>
        <w:t>VIII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zh-CN" w:bidi="hi-IN"/>
        </w:rPr>
        <w:t xml:space="preserve"> Програми «Заходи Комплексної програми соціального захисту та підтримки  військовослужбовців, ветеранів війни, Захисників та Захисниць України, сімей загиблих (померлих, зниклих безвісти за особливих обставин) Захисників і Захисниць України Покровської міської територіальної громади на 2024–2028 роки» та подати на затвердження на засідання сесії міської ради до 01.11.2025р.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highlight w:val="none"/>
          <w:shd w:fill="auto" w:val="clear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zh-CN" w:bidi="hi-IN"/>
        </w:rPr>
        <w:t>3. Контроль щодо виконання даного рішення покласти на заступника міського голови з виконавчої роботи Ганну ВІДЯЄВУ.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fill="auto" w:val="clear"/>
          <w:lang w:eastAsia="zh-CN" w:bidi="hi-I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zh-CN" w:bidi="hi-I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zh-CN" w:bidi="hi-IN"/>
        </w:rPr>
        <w:t>Міський голова</w:t>
        <w:tab/>
        <w:tab/>
        <w:tab/>
        <w:tab/>
        <w:tab/>
        <w:t xml:space="preserve"> </w:t>
        <w:tab/>
        <w:t xml:space="preserve">              Олександр ШАПОВАЛ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 w:bidi="hi-IN"/>
        </w:rPr>
      </w:pPr>
      <w:r>
        <w:rPr>
          <w:shd w:fill="auto" w:val="clear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 w:bidi="hi-IN"/>
        </w:rPr>
      </w:pPr>
      <w:r>
        <w:rPr>
          <w:shd w:fill="auto" w:val="clear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 w:bidi="hi-IN"/>
        </w:rPr>
      </w:pPr>
      <w:r>
        <w:rPr>
          <w:shd w:fill="auto" w:val="clear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 w:bidi="hi-IN"/>
        </w:rPr>
      </w:pPr>
      <w:r>
        <w:rPr>
          <w:shd w:fill="auto" w:val="clear"/>
        </w:rPr>
      </w:r>
    </w:p>
    <w:p>
      <w:pPr>
        <w:pStyle w:val="Normal"/>
        <w:spacing w:lineRule="auto" w:line="276" w:before="0" w:after="0"/>
        <w:jc w:val="center"/>
        <w:rPr>
          <w:b/>
          <w:b/>
          <w:bCs/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sz w:val="26"/>
          <w:szCs w:val="26"/>
          <w:shd w:fill="auto" w:val="clear"/>
        </w:rPr>
        <w:t>Про стан виконан</w:t>
      </w:r>
      <w:r>
        <w:rPr>
          <w:rFonts w:cs="Times New Roman" w:ascii="Times New Roman" w:hAnsi="Times New Roman"/>
          <w:b/>
          <w:bCs/>
          <w:sz w:val="26"/>
          <w:szCs w:val="26"/>
          <w:shd w:fill="auto" w:val="clear"/>
          <w:lang w:val="uk-UA"/>
        </w:rPr>
        <w:t>н</w:t>
      </w:r>
      <w:r>
        <w:rPr>
          <w:rFonts w:cs="Times New Roman" w:ascii="Times New Roman" w:hAnsi="Times New Roman"/>
          <w:b/>
          <w:bCs/>
          <w:sz w:val="26"/>
          <w:szCs w:val="26"/>
          <w:shd w:fill="auto" w:val="clear"/>
        </w:rPr>
        <w:t xml:space="preserve">я </w:t>
      </w:r>
      <w:r>
        <w:rPr>
          <w:rFonts w:cs="Times New Roman" w:ascii="Times New Roman" w:hAnsi="Times New Roman"/>
          <w:b/>
          <w:bCs/>
          <w:sz w:val="26"/>
          <w:szCs w:val="26"/>
          <w:shd w:fill="auto" w:val="clear"/>
          <w:lang w:val="uk-UA"/>
        </w:rPr>
        <w:t xml:space="preserve">Комплексної програми </w:t>
      </w:r>
    </w:p>
    <w:p>
      <w:pPr>
        <w:pStyle w:val="Normal"/>
        <w:spacing w:lineRule="auto" w:line="276" w:before="0" w:after="0"/>
        <w:jc w:val="center"/>
        <w:rPr>
          <w:b/>
          <w:b/>
          <w:bCs/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sz w:val="26"/>
          <w:szCs w:val="26"/>
          <w:shd w:fill="auto" w:val="clear"/>
          <w:lang w:val="uk-UA"/>
        </w:rPr>
        <w:t>соціального</w:t>
      </w:r>
      <w:r>
        <w:rPr>
          <w:rFonts w:cs="Times New Roman" w:ascii="Times New Roman" w:hAnsi="Times New Roman"/>
          <w:b/>
          <w:bCs/>
          <w:spacing w:val="8"/>
          <w:sz w:val="26"/>
          <w:szCs w:val="26"/>
          <w:shd w:fill="auto" w:val="clear"/>
          <w:lang w:val="uk-UA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  <w:shd w:fill="auto" w:val="clear"/>
          <w:lang w:val="uk-UA"/>
        </w:rPr>
        <w:t>захисту та підтримки</w:t>
      </w:r>
      <w:r>
        <w:rPr>
          <w:rFonts w:cs="Times New Roman" w:ascii="Times New Roman" w:hAnsi="Times New Roman"/>
          <w:b/>
          <w:bCs/>
          <w:spacing w:val="8"/>
          <w:sz w:val="26"/>
          <w:szCs w:val="26"/>
          <w:shd w:fill="auto" w:val="clear"/>
          <w:lang w:val="uk-UA"/>
        </w:rPr>
        <w:t xml:space="preserve">  військовослужбовців, </w:t>
      </w:r>
      <w:r>
        <w:rPr>
          <w:rFonts w:cs="Times New Roman" w:ascii="Times New Roman" w:hAnsi="Times New Roman"/>
          <w:b/>
          <w:bCs/>
          <w:color w:val="000000"/>
          <w:sz w:val="26"/>
          <w:szCs w:val="26"/>
          <w:shd w:fill="auto" w:val="clear"/>
          <w:lang w:val="uk-UA"/>
        </w:rPr>
        <w:t xml:space="preserve">ветеранів війни, Захисників та Захисниць України, </w:t>
      </w:r>
      <w:r>
        <w:rPr>
          <w:rFonts w:cs="Times New Roman" w:ascii="Times New Roman" w:hAnsi="Times New Roman"/>
          <w:b/>
          <w:bCs/>
          <w:sz w:val="26"/>
          <w:szCs w:val="26"/>
          <w:shd w:fill="auto" w:val="clear"/>
          <w:lang w:val="uk-UA" w:eastAsia="ru-RU"/>
        </w:rPr>
        <w:t>сімей загиблих (померлих, зниклих безвісти за особливих обставин) Захисників і Захисниць України</w:t>
      </w:r>
      <w:r>
        <w:rPr>
          <w:rFonts w:cs="Times New Roman" w:ascii="Times New Roman" w:hAnsi="Times New Roman"/>
          <w:b/>
          <w:bCs/>
          <w:sz w:val="26"/>
          <w:szCs w:val="26"/>
          <w:shd w:fill="auto" w:val="clear"/>
          <w:lang w:val="uk-UA"/>
        </w:rPr>
        <w:t xml:space="preserve"> Покровської міської територіальної громади  на 2024–2028 роки у 2025 році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b/>
          <w:bCs/>
          <w:shd w:fill="auto" w:val="clear"/>
        </w:rPr>
      </w:r>
    </w:p>
    <w:p>
      <w:pPr>
        <w:pStyle w:val="Normal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>Метою Комплексної програми соціального</w:t>
      </w:r>
      <w:r>
        <w:rPr>
          <w:rFonts w:cs="Times New Roman" w:ascii="Times New Roman" w:hAnsi="Times New Roman"/>
          <w:spacing w:val="8"/>
          <w:sz w:val="26"/>
          <w:szCs w:val="26"/>
          <w:shd w:fill="auto" w:val="clear"/>
          <w:lang w:val="uk-UA"/>
        </w:rPr>
        <w:t xml:space="preserve"> </w:t>
      </w: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>захисту та підтримки</w:t>
      </w:r>
      <w:r>
        <w:rPr>
          <w:rFonts w:cs="Times New Roman" w:ascii="Times New Roman" w:hAnsi="Times New Roman"/>
          <w:spacing w:val="8"/>
          <w:sz w:val="26"/>
          <w:szCs w:val="26"/>
          <w:shd w:fill="auto" w:val="clear"/>
          <w:lang w:val="uk-UA"/>
        </w:rPr>
        <w:t xml:space="preserve">  військовослужбовців, </w:t>
      </w:r>
      <w:r>
        <w:rPr>
          <w:rFonts w:cs="Times New Roman" w:ascii="Times New Roman" w:hAnsi="Times New Roman"/>
          <w:color w:val="000000"/>
          <w:sz w:val="26"/>
          <w:szCs w:val="26"/>
          <w:shd w:fill="auto" w:val="clear"/>
          <w:lang w:val="uk-UA"/>
        </w:rPr>
        <w:t xml:space="preserve">ветеранів війни, Захисників та Захисниць України, </w:t>
      </w:r>
      <w:r>
        <w:rPr>
          <w:rFonts w:cs="Times New Roman" w:ascii="Times New Roman" w:hAnsi="Times New Roman"/>
          <w:sz w:val="26"/>
          <w:szCs w:val="26"/>
          <w:shd w:fill="auto" w:val="clear"/>
          <w:lang w:val="uk-UA" w:eastAsia="ru-RU"/>
        </w:rPr>
        <w:t>сімей загиблих (померлих, зниклих безвісти за особливих обставин) Захисників і Захисниць України</w:t>
      </w: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 xml:space="preserve"> Покровської міської територіальної громади на 2024–2028 роки (далі – Програма), що впроваджена в роботу з 24 травня 2024 року є додатковий соціальний захист вищезазначених категорій осіб.</w:t>
      </w:r>
    </w:p>
    <w:p>
      <w:pPr>
        <w:pStyle w:val="Normal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>За наявними даними, якими оперує управління праці та соціального захисту населення станом на 01.10.2025 року обліковується  1176  осіб, щодо яких визначені цілі Програми, а це: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>особи з інвалідністю внаслідок війни – 115 осіб;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>учасники бойових дій – 787 осіб;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>учасники війни - 61 особа;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 xml:space="preserve">члени сімей загиблих (померлих) ветеранів війни та Захисників України – 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>221 особа, в тому числі 47 дітей, із них мають статус 182 особи, в тому числі 37 дітей.</w:t>
      </w:r>
    </w:p>
    <w:p>
      <w:pPr>
        <w:pStyle w:val="Normal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>Реалізація Програми, заходи якої включають в себе 8 розділів, спрямована, насамперед, на реалізацію цілої низки законів України, що стосуються правового захисту та підтримки військовослужбовців, ветеранів, Захисників та Захисниць України, їх сімей в разі загибелі та додаткової соціальної підтримки, вирішення проблем матеріально-технічного, медичного та фінансового спрямування, надання послуг професійної адаптації, соціально – психологічної та фізичної реабілітації, залучення до активного цивільного життя, а також посилення співпраці з інститутами громадянського суспільства з боку міської ради. За цими напрямками у 2025 році було реалізовано наступне: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>- у ветеранському просторі – місці підтримки, спілкування та єднання проведено 66 заходів, учасниками яких стали 360 осіб;</w:t>
      </w:r>
    </w:p>
    <w:p>
      <w:pPr>
        <w:pStyle w:val="Normal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 xml:space="preserve">- послугою «Я-Ветеран»  через ЦНАП скористалося 218 осіб ; </w:t>
      </w:r>
    </w:p>
    <w:p>
      <w:pPr>
        <w:pStyle w:val="Normal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>- 25 особам встановлено статус  особи з інвалідністю внаслідок війни ;</w:t>
      </w:r>
    </w:p>
    <w:p>
      <w:pPr>
        <w:pStyle w:val="Normal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>- 39-ти особам -  статус члена сім’ї загиблого Захисника України.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 xml:space="preserve">- розпочала роботу фахівчиня </w:t>
      </w: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 xml:space="preserve">із супроводу ветеранів та демобілізованих осіб для </w:t>
      </w: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 xml:space="preserve"> допомоги ветеранам та їхнім родинам у переході від військової служби до цивільного життя, яка надала 95 послуг 40 особам, що сприяло вирішенню їх правових, соціальних, психологічних питань;</w:t>
      </w:r>
    </w:p>
    <w:p>
      <w:pPr>
        <w:pStyle w:val="Normal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>- 31 особа (105 послуг) скористалися індивідуальними транспортними послугами (соціальне таксі);</w:t>
      </w:r>
    </w:p>
    <w:p>
      <w:pPr>
        <w:pStyle w:val="Normal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>- безкоштовною правничою допомогою скористалося 30 осіб;</w:t>
      </w:r>
    </w:p>
    <w:p>
      <w:pPr>
        <w:pStyle w:val="Normal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>- всі соціальні послуги та за потреби соціальний супровід особи пільгової категорії отримують безкоштовно;</w:t>
      </w:r>
    </w:p>
    <w:p>
      <w:pPr>
        <w:pStyle w:val="Normal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>- звільнено від сплати за навчання в мистецьких школах 26 дітей із числа таких категорій та 329 дітей, зазначених категорій, у першому півріччі навчального 2025 року було звільнено від сплати за харчування в загальноосвітніх закладах;</w:t>
      </w:r>
    </w:p>
    <w:p>
      <w:pPr>
        <w:pStyle w:val="Normal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>- 19 дітей з числа родин Захисників безкоштовно оздоровилися та відпочили в кращих дитячих центрах;</w:t>
      </w:r>
    </w:p>
    <w:p>
      <w:pPr>
        <w:pStyle w:val="Normal"/>
        <w:widowControl w:val="false"/>
        <w:tabs>
          <w:tab w:val="clear" w:pos="708"/>
          <w:tab w:val="left" w:pos="1980" w:leader="none"/>
        </w:tabs>
        <w:spacing w:before="0" w:after="0"/>
        <w:ind w:hanging="2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 xml:space="preserve">            </w:t>
      </w: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>- 100% членів сімей загиблих охоплені гуманітарною та благодійною допомогою підтримки ТОВ Червоного Хреста, БО «Аваліст», Міжнародного комітету порятунку IRC, БФ «Карітас» Кривий Ріг, БФ «Право на Захист»;</w:t>
      </w:r>
    </w:p>
    <w:p>
      <w:pPr>
        <w:pStyle w:val="Normal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 xml:space="preserve">- щомісячною адресною допомогою в розмірі (1000 грн. на особу) з міського бюджету охоплено 139 членів сімей загиблих (померлих) ветеранів війни та Захисників України, які проживають у місті на загальну суму 1 138 000,00 грн., 53 особи даної категорії отримало щомісячну соціальну матеріальну допомогу (2920 грн. на особу) за рахунок коштів обласного бюджету на загальну суму 654 080,00 грн.; </w:t>
      </w:r>
    </w:p>
    <w:p>
      <w:pPr>
        <w:pStyle w:val="Normal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>- в рамках Комплексної програми соціального захисту населення Дніпропетровської області на 2025-2029 роки  56 членів сімей зниклих безвісти Захисників, за зверненням,  отримали щомісячну соціальну матеріальну допомогу (2920 грн. на особу) за рахунок коштів обласного бюджету на загальну суму 7320920,00 грн. ;</w:t>
      </w:r>
    </w:p>
    <w:p>
      <w:pPr>
        <w:pStyle w:val="Normal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>- 36 осіб, які підпадають під дію Програми отримали одноразову грошову допомогу з місцевого бюджету на загальну суму 126 600,00 грн. ;</w:t>
      </w:r>
    </w:p>
    <w:p>
      <w:pPr>
        <w:pStyle w:val="ListParagraph"/>
        <w:spacing w:lineRule="auto" w:line="276" w:before="0" w:after="0"/>
        <w:ind w:left="0" w:hanging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ab/>
        <w:t>- близько 246 ветеранів охоплено диспансерним наглядом, майже 100 осіб отримали медичні послуги на відновлення здоров’я; з</w:t>
      </w:r>
      <w:r>
        <w:rPr>
          <w:rFonts w:cs="Times New Roman" w:ascii="Times New Roman" w:hAnsi="Times New Roman"/>
          <w:sz w:val="26"/>
          <w:szCs w:val="26"/>
          <w:shd w:fill="auto" w:val="clear"/>
          <w:lang w:val="uk-UA" w:eastAsia="ru-RU"/>
        </w:rPr>
        <w:t>а допоміжними засобами  реабілітації звернулося  4 ветерана.</w:t>
      </w:r>
    </w:p>
    <w:p>
      <w:pPr>
        <w:pStyle w:val="Normal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>Із 23 осіб, які перебувають на квартирному обліку 2 ветеранів війни забезпечено житлом, одній особі виплачена грошова компенсацію за належні для отримання жилі приміщення за рахунок субвенції державного бюджету місцевим бюджетам.</w:t>
      </w:r>
    </w:p>
    <w:p>
      <w:pPr>
        <w:pStyle w:val="Normal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  <w:lang w:val="uk-UA" w:eastAsia="ru-RU"/>
        </w:rPr>
        <w:t xml:space="preserve">Протягом року два ветерана війни разом зі своїми родинами (всього 5 осіб) забезпечені соціально-психологічною реабілітацією за рахунок коштів обласного бюджету в ДП«Санаторій «Славутич» ім.В.Б.Пашковського (м. Верхньодніпровськ). </w:t>
      </w:r>
    </w:p>
    <w:p>
      <w:pPr>
        <w:pStyle w:val="Normal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  <w:lang w:val="uk-UA" w:eastAsia="ru-RU"/>
        </w:rPr>
        <w:t>Крім цього, в рамках укладеного Покровською міською територіальною громадою Меморандуму про співпрацю з Володимир - Волинської міською територіальною громадою три особи з інвалідністю внаслідок війни у вересні-жовтні отримали реабілітаційні послуги.</w:t>
      </w:r>
    </w:p>
    <w:p>
      <w:pPr>
        <w:pStyle w:val="Normal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>З метою в</w:t>
      </w:r>
      <w:r>
        <w:rPr>
          <w:rFonts w:cs="Times New Roman" w:ascii="Times New Roman" w:hAnsi="Times New Roman"/>
          <w:spacing w:val="2"/>
          <w:sz w:val="26"/>
          <w:szCs w:val="26"/>
          <w:shd w:fill="auto" w:val="clear"/>
          <w:lang w:val="uk-UA"/>
        </w:rPr>
        <w:t xml:space="preserve">досконалення знань та навичок для роботи з вищезазначеними категоріями головний спеціаліст </w:t>
      </w: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>з питань реалізації ветеранської політики виконавчого комітету, 2 фахівці Центру соціальних служб та 5 спеціалістів управління праці та соціального захисту населення підвищили свою кваліфікацію та отримали відповідні сертифікати.</w:t>
      </w:r>
    </w:p>
    <w:p>
      <w:pPr>
        <w:pStyle w:val="Normal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>Організовано та проведено за участю соціальних служб 4</w:t>
      </w:r>
      <w:r>
        <w:rPr>
          <w:rFonts w:cs="Times New Roman" w:ascii="Times New Roman" w:hAnsi="Times New Roman"/>
          <w:color w:val="FF0000"/>
          <w:sz w:val="26"/>
          <w:szCs w:val="26"/>
          <w:shd w:fill="auto" w:val="clear"/>
          <w:lang w:val="uk-UA"/>
        </w:rPr>
        <w:t xml:space="preserve"> </w:t>
      </w: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 xml:space="preserve">круглі столи, в тому числі в рамках </w:t>
      </w: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 xml:space="preserve">соціально - освітнього  проєкту "Титани 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>UA</w:t>
      </w: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 xml:space="preserve">" за участю </w:t>
      </w:r>
      <w:r>
        <w:rPr>
          <w:rFonts w:cs="Times New Roman" w:ascii="Times New Roman" w:hAnsi="Times New Roman"/>
          <w:sz w:val="26"/>
          <w:szCs w:val="26"/>
          <w:shd w:fill="auto" w:val="clear"/>
          <w:lang w:val="uk-UA" w:eastAsia="ru-RU"/>
        </w:rPr>
        <w:t>амбасадорів  проєкту.</w:t>
      </w:r>
    </w:p>
    <w:p>
      <w:pPr>
        <w:pStyle w:val="Normal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>Ветеранська спільнота прийняла активну участь в 48 тематичних заходах, організованих закладами  соціального спрямування, освіти та  культури.</w:t>
      </w:r>
    </w:p>
    <w:p>
      <w:pPr>
        <w:pStyle w:val="Normal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>Крім цього, ветерани війни залучаються до проведення заходів з національно-патріотичного виховання учнівської молоді.</w:t>
      </w:r>
    </w:p>
    <w:p>
      <w:pPr>
        <w:pStyle w:val="Normal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>З метою вшанування пам’яті загиблих Захисників присвоєно звання «Почесний громадянин міста Покров» (посмертно) 14 Захисникам та вручено їх рідним  почесну відзнаку міського рівня медаль «За заслуги перед містом»; утримується в актуальному стані Стела пам’яті загиблих героїв, відкрито 24 меморіальні дошки; в міському музеї триває робота щодо  створення Книги пам’яті загиблих захисників.</w:t>
      </w:r>
    </w:p>
    <w:p>
      <w:pPr>
        <w:pStyle w:val="Normal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 xml:space="preserve">Для підвищення рівня обізнаності та поінформованості ветеранів війни, Захисників та Захисниць України, членів сімей загиблих (померлих) ветеранів війни, Захисників та Захисниць України проводиться інформаційно - роз’яснювальна робота щодо </w:t>
      </w: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>соціальних гарантій, медичної та психологічної допомоги, освітніх та кар'єрних можливостей, а також інтеграції у суспільство та створення умов для повноцінного життя.</w:t>
      </w:r>
    </w:p>
    <w:p>
      <w:pPr>
        <w:pStyle w:val="Normal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 w:themeColor="text1"/>
          <w:sz w:val="26"/>
          <w:szCs w:val="26"/>
          <w:shd w:fill="auto" w:val="clear"/>
          <w:lang w:val="uk-UA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6"/>
          <w:szCs w:val="26"/>
          <w:shd w:fill="auto" w:val="clear"/>
          <w:lang w:val="uk-UA"/>
        </w:rPr>
        <w:t xml:space="preserve">Загалом, на реалізацію заходів програми протягом 9 місяців поточного року було використано 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 xml:space="preserve">3 242 658,06 грн., у т. ч. 1 771 708,06 грн. коштів міського бюджету без врахування затрат безкоштовного проїзду в міському та залізничному транспорті. </w:t>
      </w:r>
    </w:p>
    <w:p>
      <w:pPr>
        <w:pStyle w:val="Normal"/>
        <w:spacing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>Враховуючи вищезазначене, пропоную: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>Дану аналітичну довідку взяти до відома.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 xml:space="preserve">Враховуючи зміни в державних заходах щодо вищезазначених категорій є </w:t>
      </w:r>
    </w:p>
    <w:p>
      <w:pPr>
        <w:pStyle w:val="Normal"/>
        <w:spacing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 xml:space="preserve">необхідність внести зміни  до </w:t>
      </w:r>
      <w:r>
        <w:rPr>
          <w:rFonts w:cs="Times New Roman" w:ascii="Times New Roman" w:hAnsi="Times New Roman"/>
          <w:bCs/>
          <w:sz w:val="26"/>
          <w:szCs w:val="26"/>
          <w:shd w:fill="auto" w:val="clear"/>
          <w:lang w:val="uk-UA"/>
        </w:rPr>
        <w:t>заходів Комплексної програми соціального</w:t>
      </w:r>
      <w:r>
        <w:rPr>
          <w:rFonts w:cs="Times New Roman" w:ascii="Times New Roman" w:hAnsi="Times New Roman"/>
          <w:bCs/>
          <w:spacing w:val="8"/>
          <w:sz w:val="26"/>
          <w:szCs w:val="26"/>
          <w:shd w:fill="auto" w:val="clear"/>
          <w:lang w:val="uk-UA"/>
        </w:rPr>
        <w:t xml:space="preserve"> </w:t>
      </w:r>
      <w:r>
        <w:rPr>
          <w:rFonts w:cs="Times New Roman" w:ascii="Times New Roman" w:hAnsi="Times New Roman"/>
          <w:bCs/>
          <w:sz w:val="26"/>
          <w:szCs w:val="26"/>
          <w:shd w:fill="auto" w:val="clear"/>
          <w:lang w:val="uk-UA"/>
        </w:rPr>
        <w:t>захисту та підтримки</w:t>
      </w:r>
      <w:r>
        <w:rPr>
          <w:rFonts w:cs="Times New Roman" w:ascii="Times New Roman" w:hAnsi="Times New Roman"/>
          <w:bCs/>
          <w:spacing w:val="8"/>
          <w:sz w:val="26"/>
          <w:szCs w:val="26"/>
          <w:shd w:fill="auto" w:val="clear"/>
          <w:lang w:val="uk-UA"/>
        </w:rPr>
        <w:t xml:space="preserve">  військовослужбовців, </w:t>
      </w:r>
      <w:r>
        <w:rPr>
          <w:rFonts w:cs="Times New Roman" w:ascii="Times New Roman" w:hAnsi="Times New Roman"/>
          <w:bCs/>
          <w:sz w:val="26"/>
          <w:szCs w:val="26"/>
          <w:shd w:fill="auto" w:val="clear"/>
          <w:lang w:val="uk-UA"/>
        </w:rPr>
        <w:t xml:space="preserve">ветеранів війни, Захисників та Захисниць України, </w:t>
      </w:r>
      <w:r>
        <w:rPr>
          <w:rFonts w:cs="Times New Roman" w:ascii="Times New Roman" w:hAnsi="Times New Roman"/>
          <w:bCs/>
          <w:sz w:val="26"/>
          <w:szCs w:val="26"/>
          <w:shd w:fill="auto" w:val="clear"/>
          <w:lang w:val="uk-UA" w:eastAsia="ru-RU"/>
        </w:rPr>
        <w:t>сімей загиблих (померлих, зниклих безвісти за особливих обставин) Захисників і Захисниць України</w:t>
      </w:r>
      <w:r>
        <w:rPr>
          <w:rFonts w:cs="Times New Roman" w:ascii="Times New Roman" w:hAnsi="Times New Roman"/>
          <w:bCs/>
          <w:sz w:val="26"/>
          <w:szCs w:val="26"/>
          <w:shd w:fill="auto" w:val="clear"/>
          <w:lang w:val="uk-UA"/>
        </w:rPr>
        <w:t xml:space="preserve"> Покровської міської територіальної громади на 2024–2028 роки, </w:t>
      </w: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>та винести їх на розгляд сесії міської ради,</w:t>
      </w:r>
      <w:r>
        <w:rPr>
          <w:rFonts w:cs="Times New Roman" w:ascii="Times New Roman" w:hAnsi="Times New Roman"/>
          <w:bCs/>
          <w:sz w:val="26"/>
          <w:szCs w:val="26"/>
          <w:shd w:fill="auto" w:val="clear"/>
          <w:lang w:val="uk-UA"/>
        </w:rPr>
        <w:t xml:space="preserve"> а саме: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sz w:val="26"/>
          <w:szCs w:val="26"/>
          <w:shd w:fill="auto" w:val="clear"/>
          <w:lang w:val="uk-UA"/>
        </w:rPr>
        <w:t>розділ 3. «Соціальна підтримка» доповнити напрямком</w:t>
      </w:r>
      <w:r>
        <w:rPr>
          <w:rFonts w:ascii="Times New Roman" w:hAnsi="Times New Roman"/>
          <w:color w:val="000000"/>
          <w:sz w:val="26"/>
          <w:szCs w:val="26"/>
          <w:shd w:fill="auto" w:val="clear"/>
          <w:lang w:val="uk-UA"/>
        </w:rPr>
        <w:t xml:space="preserve"> супроводу </w:t>
      </w:r>
    </w:p>
    <w:p>
      <w:pPr>
        <w:pStyle w:val="Normal"/>
        <w:spacing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6"/>
          <w:szCs w:val="26"/>
          <w:shd w:fill="auto" w:val="clear"/>
          <w:lang w:val="uk-UA"/>
        </w:rPr>
        <w:t>ветеранів війни та демобілізованих осіб для надання індивідуальної підтримки в частині надання комплексних соціальних послуг ветеранам війни, військовослужбовцям, членів сімей загиблих (померлих), зниклих безвісти за особливих обставин Захисників і Захисниць України».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sz w:val="26"/>
          <w:szCs w:val="26"/>
          <w:shd w:fill="auto" w:val="clear"/>
          <w:lang w:val="uk-UA"/>
        </w:rPr>
        <w:t xml:space="preserve">розділ 4. «Забезпечення житлових прав»  відкоригувати у відповідності </w:t>
      </w:r>
    </w:p>
    <w:p>
      <w:pPr>
        <w:pStyle w:val="Normal"/>
        <w:spacing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shd w:fill="auto" w:val="clear"/>
          <w:lang w:val="uk-UA" w:eastAsia="zh-CN" w:bidi="hi-IN"/>
        </w:rPr>
        <w:t xml:space="preserve">змін  у законодавстві,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val="uk-UA" w:eastAsia="zh-CN" w:bidi="hi-IN"/>
        </w:rPr>
        <w:t xml:space="preserve">а саме згідно постанови Кабінету Міністрів України від 22.08. 2025 року № 1019 «Про внесення змін до деяких актів Кабінету Міністрів України щодо соціального захисту осіб з інвалідністю» (проведення капітальних ремонтів житла).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val="uk-UA" w:eastAsia="zh-CN" w:bidi="hi-IN"/>
        </w:rPr>
        <w:t xml:space="preserve">  </w:t>
      </w:r>
    </w:p>
    <w:sectPr>
      <w:type w:val="nextPage"/>
      <w:pgSz w:w="11906" w:h="16838"/>
      <w:pgMar w:left="1701" w:right="567" w:gutter="0" w:header="0" w:top="426" w:footer="0" w:bottom="1134"/>
      <w:pgNumType w:start="1"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128" w:hanging="4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e5c2a"/>
    <w:rPr>
      <w:rFonts w:ascii="Segoe UI" w:hAnsi="Segoe UI" w:cs="Segoe UI"/>
      <w:sz w:val="18"/>
      <w:szCs w:val="18"/>
      <w:lang w:val="uk-UA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24afe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e5c2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LibreOffice/7.4.3.2$Windows_X86_64 LibreOffice_project/1048a8393ae2eeec98dff31b5c133c5f1d08b890</Application>
  <AppVersion>15.0000</AppVersion>
  <Pages>4</Pages>
  <Words>1350</Words>
  <Characters>8806</Characters>
  <CharactersWithSpaces>10230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2025-08-18T11:35:00Z</dcterms:created>
  <dc:creator>ALINA</dc:creator>
  <dc:description/>
  <dc:language>uk-UA</dc:language>
  <cp:lastModifiedBy/>
  <cp:lastPrinted>2024-09-06T06:30:00Z</cp:lastPrinted>
  <dcterms:modified xsi:type="dcterms:W3CDTF">2025-10-23T12:55:32Z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