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wmf" ContentType="image/x-wmf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lang w:val="uk-UA"/>
        </w:rPr>
      </w:pPr>
      <w:r>
        <w:rPr/>
        <mc:AlternateContent>
          <mc:Choice Requires="wps">
            <w:drawing>
              <wp:anchor behindDoc="0" distT="4445" distB="4445" distL="4445" distR="4445" simplePos="0" locked="0" layoutInCell="0" allowOverlap="1" relativeHeight="3">
                <wp:simplePos x="0" y="0"/>
                <wp:positionH relativeFrom="column">
                  <wp:posOffset>5713095</wp:posOffset>
                </wp:positionH>
                <wp:positionV relativeFrom="paragraph">
                  <wp:posOffset>120650</wp:posOffset>
                </wp:positionV>
                <wp:extent cx="311785" cy="201930"/>
                <wp:effectExtent l="0" t="0" r="0" b="0"/>
                <wp:wrapNone/>
                <wp:docPr id="1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040" cy="20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overflowPunct w:val="false"/>
                              <w:bidi w:val="0"/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eastAsia="Noto Serif CJK SC" w:cs="Lohit Devanagari" w:ascii="Liberation Serif;Times New Roman" w:hAnsi="Liberation Serif;Times New Roman"/>
                                <w:color w:val="auto"/>
                                <w:kern w:val="2"/>
                                <w:sz w:val="22"/>
                                <w:szCs w:val="22"/>
                                <w:lang w:val="ru-RU" w:eastAsia="zh-CN" w:bidi="hi-IN"/>
                              </w:rPr>
                              <w:t>копія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1" path="m0,0l-2147483645,0l-2147483645,-2147483646l0,-2147483646xe" fillcolor="white" stroked="t" style="position:absolute;margin-left:449.85pt;margin-top:9.5pt;width:24.45pt;height:15.8pt;mso-wrap-style:square;v-text-anchor:middle">
                <v:fill o:detectmouseclick="t" type="solid" color2="black"/>
                <v:stroke color="white" weight="9360" joinstyle="round" endcap="flat"/>
                <v:textbox>
                  <w:txbxContent>
                    <w:p>
                      <w:pPr>
                        <w:pStyle w:val="Style20"/>
                        <w:overflowPunct w:val="false"/>
                        <w:bidi w:val="0"/>
                        <w:spacing w:lineRule="auto" w:line="240" w:before="0" w:after="0"/>
                        <w:rPr/>
                      </w:pPr>
                      <w:r>
                        <w:rPr>
                          <w:rFonts w:eastAsia="Noto Serif CJK SC" w:cs="Lohit Devanagari" w:ascii="Liberation Serif;Times New Roman" w:hAnsi="Liberation Serif;Times New Roman"/>
                          <w:color w:val="auto"/>
                          <w:kern w:val="2"/>
                          <w:sz w:val="22"/>
                          <w:szCs w:val="22"/>
                          <w:lang w:val="ru-RU" w:eastAsia="zh-CN" w:bidi="hi-IN"/>
                        </w:rPr>
                        <w:t>копія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2806065</wp:posOffset>
            </wp:positionH>
            <wp:positionV relativeFrom="paragraph">
              <wp:posOffset>249555</wp:posOffset>
            </wp:positionV>
            <wp:extent cx="430530" cy="609600"/>
            <wp:effectExtent l="0" t="0" r="0" b="0"/>
            <wp:wrapTopAndBottom/>
            <wp:docPr id="3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jc w:val="center"/>
        <w:rPr>
          <w:lang w:val="uk-UA"/>
        </w:rPr>
      </w:pPr>
      <w:r>
        <w:rPr/>
      </w:r>
    </w:p>
    <w:p>
      <w:pPr>
        <w:pStyle w:val="Normal"/>
        <w:spacing w:before="0" w:after="0"/>
        <w:jc w:val="center"/>
        <w:rPr>
          <w:lang w:val="uk-UA"/>
        </w:rPr>
      </w:pPr>
      <w:r>
        <w:rPr/>
      </w:r>
    </w:p>
    <w:p>
      <w:pPr>
        <w:pStyle w:val="Normal"/>
        <w:spacing w:before="0" w:after="0"/>
        <w:jc w:val="center"/>
        <w:rPr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ВИКОНАВЧИЙ КОМІТЕТ ПОКРОВСЬКОЇ МІСЬКОЇ РАДИ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ДНІПРОПЕТРОВСЬКОЇ ОБЛАСТІ</w:t>
      </w:r>
    </w:p>
    <w:p>
      <w:pPr>
        <w:pStyle w:val="Normal"/>
        <w:spacing w:before="0" w:after="0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pacing w:before="0" w:after="0"/>
        <w:jc w:val="center"/>
        <w:rPr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30"/>
          <w:szCs w:val="30"/>
          <w:lang w:val="uk-UA"/>
        </w:rPr>
        <w:t>РІШЕННЯ</w:t>
      </w:r>
    </w:p>
    <w:p>
      <w:pPr>
        <w:pStyle w:val="BodyText2"/>
        <w:spacing w:before="0" w:after="0"/>
        <w:ind w:left="0" w:right="0" w:hanging="0"/>
        <w:jc w:val="lef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uk-UA" w:eastAsia="zh-CN" w:bidi="ar-SA"/>
        </w:rPr>
        <w:t>22.12.2022</w:t>
      </w:r>
      <w:r>
        <w:rPr>
          <w:rFonts w:cs="Times New Roman"/>
          <w:b/>
          <w:bCs/>
          <w:sz w:val="28"/>
          <w:szCs w:val="28"/>
          <w:lang w:val="uk-UA"/>
        </w:rPr>
        <w:t xml:space="preserve">                                         </w:t>
      </w:r>
      <w:r>
        <w:rPr>
          <w:rFonts w:cs="Times New Roman"/>
          <w:b w:val="false"/>
          <w:bCs w:val="false"/>
          <w:sz w:val="28"/>
          <w:szCs w:val="28"/>
          <w:lang w:val="uk-UA"/>
        </w:rPr>
        <w:t xml:space="preserve"> </w:t>
      </w:r>
      <w:r>
        <w:rPr>
          <w:rFonts w:cs="Times New Roman"/>
          <w:b w:val="false"/>
          <w:bCs w:val="false"/>
          <w:sz w:val="20"/>
          <w:szCs w:val="20"/>
          <w:lang w:val="uk-UA"/>
        </w:rPr>
        <w:t xml:space="preserve">м.Покров  </w:t>
      </w:r>
      <w:r>
        <w:rPr>
          <w:rFonts w:cs="Times New Roman"/>
          <w:b/>
          <w:bCs/>
          <w:sz w:val="28"/>
          <w:szCs w:val="28"/>
          <w:lang w:val="uk-UA"/>
        </w:rPr>
        <w:t xml:space="preserve">                                 </w:t>
      </w:r>
      <w:r>
        <w:rPr>
          <w:rFonts w:cs="Times New Roman"/>
          <w:b w:val="false"/>
          <w:bCs w:val="false"/>
          <w:sz w:val="28"/>
          <w:szCs w:val="28"/>
          <w:lang w:val="uk-UA"/>
        </w:rPr>
        <w:t xml:space="preserve">  №</w:t>
      </w:r>
      <w:r>
        <w:rPr>
          <w:rFonts w:eastAsia="Times New Roman" w:cs="Times New Roman"/>
          <w:b/>
          <w:bCs/>
          <w:color w:val="auto"/>
          <w:sz w:val="28"/>
          <w:szCs w:val="28"/>
          <w:lang w:val="uk-UA" w:eastAsia="zh-CN" w:bidi="ar-SA"/>
        </w:rPr>
        <w:t>367/06-53-22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Про затвердження тарифів на платні соціальні послуги</w:t>
      </w:r>
    </w:p>
    <w:p>
      <w:pPr>
        <w:pStyle w:val="Normal"/>
        <w:ind w:firstLine="708"/>
        <w:jc w:val="both"/>
        <w:rPr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Керуючись розділом </w:t>
      </w:r>
      <w:r>
        <w:rPr>
          <w:rFonts w:cs="Times New Roman" w:ascii="Times New Roman" w:hAnsi="Times New Roman"/>
          <w:sz w:val="28"/>
          <w:szCs w:val="28"/>
          <w:lang w:val="en-US"/>
        </w:rPr>
        <w:t>IV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ст. 28 «Оплата соціальних послуг» Закону України «Про соціальні послуги», законами України «Про внесення змін до Податкового кодексу України та деяких законодавчих актів України щодо забезпечення збалансованості бюджетних надходжень у 2016 році» № 909-</w:t>
      </w:r>
      <w:r>
        <w:rPr>
          <w:rFonts w:cs="Times New Roman" w:ascii="Times New Roman" w:hAnsi="Times New Roman"/>
          <w:sz w:val="28"/>
          <w:szCs w:val="28"/>
          <w:lang w:val="en-US"/>
        </w:rPr>
        <w:t>VIII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від 24.12.2015, «Про місцеве самоврядування в Україні», постановами Кабінету Міністрів 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України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  <w:lang w:val="uk-UA"/>
        </w:rPr>
        <w:t xml:space="preserve">«Деякі питання оплати праці працівників установ, закладів та організацій окремих галузей бюджетної сфери» № 29 від 20.01.2021, «Про затвердження порядку регулювання тарифів на платні соціальні послуги»  № 428 від 01.06.2020, «Про затвердження Порядку установлення диференційованої плати за надання соціальних послуг» № 429 від 01.06.2020, наказом Міністерства соціальної політики України «Про затвердження Методичних рекомендацій розрахунку вартості соціальних послуг » № 1186 від 07.12.2015, у відповідності до Класифікатора соціальних послуг, затвердженого наказом Міністерства соціальної політики України № 429 віл 23.06.2020, з метою приведення у відповідність тарифів на платні соціальні послуги до вимог чинного  законодавства, виконавчий комітет Покровської міської ради </w:t>
      </w:r>
    </w:p>
    <w:p>
      <w:pPr>
        <w:pStyle w:val="Normal"/>
        <w:rPr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ВИРІШИВ:</w:t>
      </w:r>
    </w:p>
    <w:p>
      <w:pPr>
        <w:pStyle w:val="Normal"/>
        <w:jc w:val="both"/>
        <w:rPr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>1. Затвердити тарифи на платні соціальні послуги у відділенні соціальної допомоги вдома територіального центру соціального обслуговування (надання соціальних послуг) Покровської міської ради Дніпропетровської області з 26.12.2022 року, що додається.</w:t>
      </w:r>
    </w:p>
    <w:p>
      <w:pPr>
        <w:pStyle w:val="Normal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>2. Затвердити надання соціальних послуг у відділенні денного перебування територіального центру соціального обслуговування (надання соціальних послуг) Покровської міської ради Дніпропетровської області на безоплатній основі.</w:t>
      </w:r>
    </w:p>
    <w:p>
      <w:pPr>
        <w:pStyle w:val="Normal"/>
        <w:jc w:val="both"/>
        <w:rPr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>3. Директору територіального центру соціального обслуговування (надання соціальних послуг) Покровської міської ради Дніпропетровської області Наталії ДАНИЛЕНКО забезпечити ознайомлення споживачів платних соціальних послуг з тарифами на платні соціальні послуги «догляд вдома», «натуральна допомога», оприлюднити дане рішення в газеті «Козацька вежа»  та на веб – сайті міської ради.</w:t>
      </w:r>
    </w:p>
    <w:p>
      <w:pPr>
        <w:pStyle w:val="Normal"/>
        <w:jc w:val="both"/>
        <w:rPr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>4. Визнати таким, що втратило чинність рішення виконавчого комітету Покровської міської ради №586/06-53-21 від 23.12.2021 року «Про затвердження вартості платних соціальних послуг».</w:t>
      </w:r>
    </w:p>
    <w:p>
      <w:pPr>
        <w:pStyle w:val="Normal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>5. Координацію роботи щодо виконання цього рішення покласти на начальника управління соціального захисту населення Тетяну ІГНАТЮК, контроль на заступника міського голови Ганну ВІДЯЄВУ.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spacing w:before="0" w:after="20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Міський голова                                                                    Олександр  ШАПОВАЛ</w:t>
      </w:r>
    </w:p>
    <w:p>
      <w:pPr>
        <w:pStyle w:val="Normal"/>
        <w:spacing w:before="0" w:after="20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0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0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0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0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0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0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0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0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0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0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0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0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0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0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0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uk-UA" w:eastAsia="ru-RU"/>
        </w:rPr>
        <w:t>Додаток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uk-UA" w:eastAsia="ru-RU"/>
        </w:rPr>
        <w:t>РОЗРАХУНОК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uk-UA" w:eastAsia="ru-RU"/>
        </w:rPr>
        <w:t>тарифу на надання соціальної послуги «догляд вдома»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Arial" w:ascii="Arial" w:hAnsi="Arial"/>
          <w:color w:val="333333"/>
          <w:sz w:val="21"/>
          <w:szCs w:val="21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val="uk-UA" w:eastAsia="ru-RU"/>
        </w:rPr>
      </w:pPr>
      <w:r>
        <w:rPr>
          <w:rFonts w:eastAsia="Times New Roman" w:cs="Times New Roman" w:ascii="Times New Roman" w:hAnsi="Times New Roman"/>
          <w:color w:val="333333"/>
          <w:sz w:val="24"/>
          <w:szCs w:val="24"/>
          <w:lang w:val="uk-UA" w:eastAsia="ru-RU"/>
        </w:rPr>
        <w:t xml:space="preserve">     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lang w:val="uk-UA" w:eastAsia="ru-RU"/>
        </w:rPr>
        <w:t>Розрахунки тарифів на платні соціальні послуги проведені відповідно до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Закону України «Про соціальні послуги», постанови Кабінету Міністрів України від 29.12.2009 року №1417 «Деякі питання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діяльності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територіальних центрів соціального обслуговування» зі змінами,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 постанови Кабінету Міністрів України від 01.06.2020 № 428 «Про затвердження порядку регулювання тарифів соціальні на послуги», постанови Кабінету Міністрів України від 01.06.2020 року №429 «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shd w:fill="FFFFFF" w:val="clear"/>
          <w:lang w:val="uk-UA" w:eastAsia="ru-RU"/>
        </w:rPr>
        <w:t>Про затвердження Порядку установлення диференційованої плати за надання соціальних послуг»,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lang w:val="uk-UA"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постанови Кабінету Міністрів України від 01.06.2020 року «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shd w:fill="FFFFFF" w:val="clear"/>
          <w:lang w:val="uk-UA" w:eastAsia="ru-RU"/>
        </w:rPr>
        <w:t>Порядок організації надання соціальних послуг»,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lang w:val="uk-UA"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наказу Міністерства фінансів України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lang w:val="uk-UA" w:eastAsia="ru-RU"/>
        </w:rPr>
        <w:t> 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shd w:fill="FFFFFF" w:val="clear"/>
          <w:lang w:val="uk-UA" w:eastAsia="ru-RU"/>
        </w:rPr>
        <w:t>від 31.12.1999 року №318 «Про затвердження Положення (стандарту) бухгалтерського обліку», наказу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lang w:val="uk-UA"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Міністерства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lang w:val="uk-UA" w:eastAsia="ru-RU"/>
        </w:rPr>
        <w:t> 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shd w:fill="FFFFFF" w:val="clear"/>
          <w:lang w:val="uk-UA" w:eastAsia="ru-RU"/>
        </w:rPr>
        <w:t>соціальної політики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lang w:val="uk-UA"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від 07.12.2015 року №1186 "Про затвердження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методичних рекомендацій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розрахунку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вартості соціальних послуг" (надалі Методика №1186). 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val="uk-UA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Згідно Методики № 1186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вартість соціальної послуги розраховується відповідно до економічно обґрунтованих планових витрат, визначених на підставі державних і галузевих нормативів витрат ресурсів, калькуляції вартості соціальних послуг за рахунок бюджетних коштів, з урахуванням цін на матеріальні ресурси та послуги за попередній період на основі розрахункових фінансових показників.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val="uk-UA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Вартість кожної соціальної послуги визначається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на основі типової структури витрат для визначення вартості соціальної послуги в розрахунку на одну людино-годину (залежно від умов надання соціальної послуги), яка містить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статті прямих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та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адміністративних витрат.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До 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прямих витрат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належать: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225" w:right="225" w:hanging="36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заробітна плата і єдиний внесок на загальнообов’язкове державне соціальне страхування основного та допоміжного персоналу;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225" w:right="225" w:hanging="36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придбання товарів, робіт і послуг, безпосередньо пов’язаних з наданням соціальної послуги основним і допоміжним персоналом (у тому числі предмети, матеріали, обладнання та інвентар; медикаменти, перев’язувальні матеріали; продукти харчування; супутні роботи та послуги; інші витрати на придбання товарів, робіт і послуг);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225" w:right="225" w:hanging="36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інші прямі витрати, необхідні для надання послуги (на транспортування, ремонт і обслуговування спеціального обладнання та інших спеціальних засобів, амортизацію спеціального обладнання та інших спеціальних засобів тощо).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До 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адміністративни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uk-UA" w:eastAsia="ru-RU"/>
        </w:rPr>
        <w:t>х витрат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належать витрати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: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225" w:right="225" w:hanging="36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 заробітну плату та єдиний внесок на загальнообов’язкове державне соціальне страхування адміністративного, управлінського, господарського та обслуговуючого персоналу;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225" w:right="225" w:hanging="36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 придбання товарів, робіт і послуг (у тому числі предмети, матеріали, обладнання та інвентар; роботи та послуги; інші витрати);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225" w:right="225" w:hanging="36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інші адміністративні витрати (оренда та обслуговування приміщень, будівель і споруд; комунальні послуги та енергоносії; зв’язок; транспортні витрати на адміністративні потреби; відрядження працівників; ремонт і обслуговування обладнання адміністративного призначення; амортизація основних засобів нематеріальних активів та інших необоротних матеріальних активів адміністративного призначення тощо).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П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ри визначенні вартост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і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 соціальної послуги враховують вартість надання такої послуги одному одержувачу протягом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5 хвилин.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До вартості конкретної соціальної послуги включа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ється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частк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 всіх адміністративних витрат, яка визначається з урахуванням коефіцієнта розподілу адміністративних витрат: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 xml:space="preserve">             -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відношення заробітної плати персоналу, залученого до надання соціальної послуги, до заробітної плати персоналу, що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 xml:space="preserve"> безпосередньо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надає соціальні послуги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дміністративні витрати включаються до тарифу на платну соціальну послугу в розмірі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5 % витрат на оплату праці, визначених за нормами обслуговування для надання послуги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робітником.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Розрахуємо вартість послуги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uk-UA" w:eastAsia="ru-RU"/>
        </w:rPr>
        <w:t xml:space="preserve"> за 5 хв. наданих соціальним робітником.</w:t>
      </w:r>
      <w:r>
        <w:rPr>
          <w:rFonts w:eastAsia="Times New Roman" w:cs="Times New Roman" w:ascii="Times New Roman" w:hAnsi="Times New Roman"/>
          <w:b/>
          <w:color w:val="333333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Спочатку обчислимо 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прямі витрати на надання 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uk-UA" w:eastAsia="ru-RU"/>
        </w:rPr>
        <w:t>соціальної 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послуги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Для цього необхідно визначити розмір заробітної плати і ЄСВ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соціального робітника, який надає соціальні послуги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; витрати на придбання товарів, робіт і послуг, безпосередньо пов’язаних із наданням соціальної послуги; інші прямі витрати.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аданням платної послуги займається один соціальний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робітник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(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-й тарифний розряд).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val="uk-UA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 xml:space="preserve">Для розрахунку беремо заробітну плату соціального робітника згідно штатного розпису на 01.01.2023р.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Середньорічна заробітна плата соціального робітника становить 7750,00 грн.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Єдиний соціальний внесок 22%.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Тож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за формулою, яку пропонує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 Методика №1186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витрати на оплату праці персоналу складають: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ЗПЄВ = ЗП + ЄВ</w:t>
      </w:r>
      <w:r>
        <w:rPr>
          <w:rFonts w:eastAsia="Times New Roman" w:cs="Times New Roman" w:ascii="Times New Roman" w:hAnsi="Times New Roman"/>
          <w:b/>
          <w:bCs/>
          <w:color w:val="333333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=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 xml:space="preserve">7750,00 грн. +22%  = 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uk-UA" w:eastAsia="ru-RU"/>
        </w:rPr>
        <w:t>9455,00 грн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val="uk-UA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Далі розрахуємо витрати на придбання товарів, робіт і послуг, безпосередньо пов’язаних із наданням соціальної послуги.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Види, термін використання та кількість ТМЦ, необхідних для надання послуги протягом року, беремо виходячи з практики надання послуг. Ціни визначаємо за даними бухгалтерського обліку.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Arial" w:ascii="Arial" w:hAnsi="Arial"/>
          <w:color w:val="333333"/>
          <w:sz w:val="21"/>
          <w:szCs w:val="21"/>
          <w:lang w:eastAsia="ru-RU"/>
        </w:rPr>
        <w:t> </w:t>
      </w:r>
    </w:p>
    <w:tbl>
      <w:tblPr>
        <w:tblStyle w:val="a4"/>
        <w:tblW w:w="946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3"/>
        <w:gridCol w:w="2354"/>
        <w:gridCol w:w="1042"/>
        <w:gridCol w:w="1237"/>
        <w:gridCol w:w="1380"/>
        <w:gridCol w:w="1420"/>
        <w:gridCol w:w="1557"/>
      </w:tblGrid>
      <w:tr>
        <w:trPr>
          <w:trHeight w:val="1532" w:hRule="atLeast"/>
        </w:trPr>
        <w:tc>
          <w:tcPr>
            <w:tcW w:w="473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№</w:t>
            </w:r>
          </w:p>
        </w:tc>
        <w:tc>
          <w:tcPr>
            <w:tcW w:w="2354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Назва використаних засобів</w:t>
            </w:r>
          </w:p>
        </w:tc>
        <w:tc>
          <w:tcPr>
            <w:tcW w:w="1042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Термін використання                         (міс.)</w:t>
            </w:r>
          </w:p>
        </w:tc>
        <w:tc>
          <w:tcPr>
            <w:tcW w:w="1237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Кіл-ть               шт.,пар</w:t>
            </w:r>
          </w:p>
        </w:tc>
        <w:tc>
          <w:tcPr>
            <w:tcW w:w="1380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Ціна використаних засобів                    (грн)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Вартість використаних засобів                    (грн)</w:t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Вартість прямих витрат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для розрахунку тарифу платної соціальної послуги   (грн)</w:t>
            </w:r>
          </w:p>
        </w:tc>
      </w:tr>
      <w:tr>
        <w:trPr>
          <w:trHeight w:val="263" w:hRule="atLeast"/>
        </w:trPr>
        <w:tc>
          <w:tcPr>
            <w:tcW w:w="473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1</w:t>
            </w:r>
          </w:p>
        </w:tc>
        <w:tc>
          <w:tcPr>
            <w:tcW w:w="2354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Папір ксероксний</w:t>
            </w:r>
          </w:p>
        </w:tc>
        <w:tc>
          <w:tcPr>
            <w:tcW w:w="1042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6</w:t>
            </w:r>
          </w:p>
        </w:tc>
        <w:tc>
          <w:tcPr>
            <w:tcW w:w="12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940" w:leader="none"/>
              </w:tabs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3</w:t>
            </w:r>
          </w:p>
        </w:tc>
        <w:tc>
          <w:tcPr>
            <w:tcW w:w="1380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300,00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900,00</w:t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0,0750</w:t>
            </w:r>
          </w:p>
        </w:tc>
      </w:tr>
      <w:tr>
        <w:trPr>
          <w:trHeight w:val="248" w:hRule="atLeast"/>
        </w:trPr>
        <w:tc>
          <w:tcPr>
            <w:tcW w:w="473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2</w:t>
            </w:r>
          </w:p>
        </w:tc>
        <w:tc>
          <w:tcPr>
            <w:tcW w:w="2354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Заправка катриджу</w:t>
            </w:r>
          </w:p>
        </w:tc>
        <w:tc>
          <w:tcPr>
            <w:tcW w:w="1042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12</w:t>
            </w:r>
          </w:p>
        </w:tc>
        <w:tc>
          <w:tcPr>
            <w:tcW w:w="1237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1</w:t>
            </w:r>
          </w:p>
        </w:tc>
        <w:tc>
          <w:tcPr>
            <w:tcW w:w="1380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200,00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400,00</w:t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0,0167</w:t>
            </w:r>
          </w:p>
        </w:tc>
      </w:tr>
      <w:tr>
        <w:trPr>
          <w:trHeight w:val="248" w:hRule="atLeast"/>
        </w:trPr>
        <w:tc>
          <w:tcPr>
            <w:tcW w:w="473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3</w:t>
            </w:r>
          </w:p>
        </w:tc>
        <w:tc>
          <w:tcPr>
            <w:tcW w:w="2354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Файли ( 100 шт)</w:t>
            </w:r>
          </w:p>
        </w:tc>
        <w:tc>
          <w:tcPr>
            <w:tcW w:w="1042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12</w:t>
            </w:r>
          </w:p>
        </w:tc>
        <w:tc>
          <w:tcPr>
            <w:tcW w:w="1237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1</w:t>
            </w:r>
          </w:p>
        </w:tc>
        <w:tc>
          <w:tcPr>
            <w:tcW w:w="1380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45,00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45,00</w:t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0,0019</w:t>
            </w:r>
          </w:p>
        </w:tc>
      </w:tr>
      <w:tr>
        <w:trPr>
          <w:trHeight w:val="248" w:hRule="atLeast"/>
        </w:trPr>
        <w:tc>
          <w:tcPr>
            <w:tcW w:w="473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4</w:t>
            </w:r>
          </w:p>
        </w:tc>
        <w:tc>
          <w:tcPr>
            <w:tcW w:w="2354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Олівець простий</w:t>
            </w:r>
          </w:p>
        </w:tc>
        <w:tc>
          <w:tcPr>
            <w:tcW w:w="1042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12</w:t>
            </w:r>
          </w:p>
        </w:tc>
        <w:tc>
          <w:tcPr>
            <w:tcW w:w="1237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2</w:t>
            </w:r>
          </w:p>
        </w:tc>
        <w:tc>
          <w:tcPr>
            <w:tcW w:w="1380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1,00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2,00</w:t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0,0001</w:t>
            </w:r>
          </w:p>
        </w:tc>
      </w:tr>
      <w:tr>
        <w:trPr>
          <w:trHeight w:val="263" w:hRule="atLeast"/>
        </w:trPr>
        <w:tc>
          <w:tcPr>
            <w:tcW w:w="473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5</w:t>
            </w:r>
          </w:p>
        </w:tc>
        <w:tc>
          <w:tcPr>
            <w:tcW w:w="2354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Ручка синя</w:t>
            </w:r>
          </w:p>
        </w:tc>
        <w:tc>
          <w:tcPr>
            <w:tcW w:w="1042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3</w:t>
            </w:r>
          </w:p>
        </w:tc>
        <w:tc>
          <w:tcPr>
            <w:tcW w:w="1237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2</w:t>
            </w:r>
          </w:p>
        </w:tc>
        <w:tc>
          <w:tcPr>
            <w:tcW w:w="1380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6,50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13,00</w:t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0,0022</w:t>
            </w:r>
          </w:p>
        </w:tc>
      </w:tr>
      <w:tr>
        <w:trPr>
          <w:trHeight w:val="248" w:hRule="atLeast"/>
        </w:trPr>
        <w:tc>
          <w:tcPr>
            <w:tcW w:w="473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6</w:t>
            </w:r>
          </w:p>
        </w:tc>
        <w:tc>
          <w:tcPr>
            <w:tcW w:w="2354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Зошит</w:t>
            </w:r>
          </w:p>
        </w:tc>
        <w:tc>
          <w:tcPr>
            <w:tcW w:w="1042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6</w:t>
            </w:r>
          </w:p>
        </w:tc>
        <w:tc>
          <w:tcPr>
            <w:tcW w:w="1237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1</w:t>
            </w:r>
          </w:p>
        </w:tc>
        <w:tc>
          <w:tcPr>
            <w:tcW w:w="1380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9,00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9,00</w:t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0,0008</w:t>
            </w:r>
          </w:p>
        </w:tc>
      </w:tr>
      <w:tr>
        <w:trPr>
          <w:trHeight w:val="302" w:hRule="atLeast"/>
        </w:trPr>
        <w:tc>
          <w:tcPr>
            <w:tcW w:w="473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7</w:t>
            </w:r>
          </w:p>
        </w:tc>
        <w:tc>
          <w:tcPr>
            <w:tcW w:w="2354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Рукавиці гумові</w:t>
            </w:r>
          </w:p>
        </w:tc>
        <w:tc>
          <w:tcPr>
            <w:tcW w:w="1042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3</w:t>
            </w:r>
          </w:p>
        </w:tc>
        <w:tc>
          <w:tcPr>
            <w:tcW w:w="1237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1</w:t>
            </w:r>
          </w:p>
        </w:tc>
        <w:tc>
          <w:tcPr>
            <w:tcW w:w="1380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20,00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20,00</w:t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0,0033</w:t>
            </w:r>
          </w:p>
        </w:tc>
      </w:tr>
      <w:tr>
        <w:trPr>
          <w:trHeight w:val="248" w:hRule="atLeast"/>
        </w:trPr>
        <w:tc>
          <w:tcPr>
            <w:tcW w:w="473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8</w:t>
            </w:r>
          </w:p>
        </w:tc>
        <w:tc>
          <w:tcPr>
            <w:tcW w:w="2354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Клей олівець 21гр</w:t>
            </w:r>
          </w:p>
        </w:tc>
        <w:tc>
          <w:tcPr>
            <w:tcW w:w="1042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12</w:t>
            </w:r>
          </w:p>
        </w:tc>
        <w:tc>
          <w:tcPr>
            <w:tcW w:w="1237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2</w:t>
            </w:r>
          </w:p>
        </w:tc>
        <w:tc>
          <w:tcPr>
            <w:tcW w:w="1380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10,00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20,00</w:t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0,0008</w:t>
            </w:r>
          </w:p>
        </w:tc>
      </w:tr>
      <w:tr>
        <w:trPr>
          <w:trHeight w:val="248" w:hRule="atLeast"/>
        </w:trPr>
        <w:tc>
          <w:tcPr>
            <w:tcW w:w="473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9</w:t>
            </w:r>
          </w:p>
        </w:tc>
        <w:tc>
          <w:tcPr>
            <w:tcW w:w="2354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Медичний огляд</w:t>
            </w:r>
          </w:p>
        </w:tc>
        <w:tc>
          <w:tcPr>
            <w:tcW w:w="1042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12</w:t>
            </w:r>
          </w:p>
        </w:tc>
        <w:tc>
          <w:tcPr>
            <w:tcW w:w="1237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1</w:t>
            </w:r>
          </w:p>
        </w:tc>
        <w:tc>
          <w:tcPr>
            <w:tcW w:w="1380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550,00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550,00</w:t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0,0229</w:t>
            </w:r>
          </w:p>
        </w:tc>
      </w:tr>
      <w:tr>
        <w:trPr>
          <w:trHeight w:val="263" w:hRule="atLeast"/>
        </w:trPr>
        <w:tc>
          <w:tcPr>
            <w:tcW w:w="473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2354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uk-UA" w:eastAsia="ru-RU" w:bidi="ar-SA"/>
              </w:rPr>
              <w:t>Всього</w:t>
            </w:r>
          </w:p>
        </w:tc>
        <w:tc>
          <w:tcPr>
            <w:tcW w:w="1042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1237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1380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b/>
                <w:b/>
                <w:lang w:val="uk-U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uk-UA" w:eastAsia="ru-RU" w:bidi="ar-SA"/>
              </w:rPr>
              <w:t>0,13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val="uk-UA" w:eastAsia="ru-RU"/>
        </w:rPr>
      </w:pPr>
      <w:r>
        <w:rPr>
          <w:rFonts w:eastAsia="Times New Roman" w:cs="Arial" w:ascii="Arial" w:hAnsi="Arial"/>
          <w:color w:val="333333"/>
          <w:sz w:val="21"/>
          <w:szCs w:val="21"/>
          <w:lang w:val="uk-UA"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Arial" w:ascii="Arial" w:hAnsi="Arial"/>
          <w:color w:val="333333"/>
          <w:sz w:val="21"/>
          <w:szCs w:val="21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Тож, витрати на придбання товарів, робіт і послуг за Методикою №1186 розраховуємо за формулою: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ПТРП = 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0,0750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грн.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+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 0,0167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грн.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+ 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0,0019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грн. +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0,0001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грн. + 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0,0022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грн.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+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uk-UA"/>
        </w:rPr>
        <w:t>0,0008 грн. + 0,0033 грн. + 0,0008 грн. + 0,0229 грн.</w:t>
      </w:r>
      <w:r>
        <w:rPr>
          <w:rFonts w:cs="Times New Roman" w:ascii="Times New Roman" w:hAnsi="Times New Roman"/>
          <w:b/>
          <w:sz w:val="24"/>
          <w:szCs w:val="24"/>
          <w:lang w:val="uk-UA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= </w:t>
      </w:r>
      <w:r>
        <w:rPr>
          <w:rFonts w:cs="Times New Roman" w:ascii="Times New Roman" w:hAnsi="Times New Roman"/>
          <w:b/>
          <w:sz w:val="24"/>
          <w:szCs w:val="24"/>
          <w:lang w:val="uk-UA"/>
        </w:rPr>
        <w:t xml:space="preserve">0,13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uk-UA" w:eastAsia="ru-RU"/>
        </w:rPr>
        <w:t>грн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Перейдемо до розрахунку 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інших прямих витрат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Відповідно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до Методики №1186 вони включають транспортні витрати, необхідні для надання соціальних послуг на дому; витрати на ремонт та обслуговування спеціального обладнання й інших спеціальних засобів, що використовуються безпосередньо для надання соціальних послуг на дому; річну суму амортизації спеціального обладнання та інших спеціальних засобів, що використовуються для надання соціальної послуги; інші витрати, що безпосередньо стосуються надання соціальних послуг на дому.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Транспортні витрати,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итрати на ремонт та обслуговування спеціального обладнання й інших спеціальних засобів, що використовуються безпосередньо для надання соціальної послуги, не передбачені у такій соціальній послузі. Амортизація спеціального обладнання та інших спеціальних засобів, що використовуються для надання соціальної послуги, не нараховується. Інших витрат для надання соціальних послуг на дому не передбачено.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Тож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,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інші прямі витрати, які розраховуються за формулою: 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ІПВ = ТВ + РО + РСА + ІВ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, у цьому випадку дорівнюють 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uk-UA" w:eastAsia="ru-RU"/>
        </w:rPr>
        <w:t>нулю.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Тепер з урахуванням кількості робоч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ого часу на місяць 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20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23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році (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166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годин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)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1986 (год/рік) : 12(міс) =165,5 =166 год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обчислимо прямі витрати на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надання послуги: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val="uk-UA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ПВ = (ЗПЄВ + ІПВ) : РД : НТРД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 = (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7750,00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 грн.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+22 %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.) : 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166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год = </w:t>
      </w:r>
      <w:r>
        <w:rPr>
          <w:rFonts w:eastAsia="Times New Roman" w:cs="Times New Roman" w:ascii="Times New Roman" w:hAnsi="Times New Roman"/>
          <w:bCs/>
          <w:sz w:val="24"/>
          <w:szCs w:val="24"/>
          <w:lang w:val="uk-UA" w:eastAsia="ru-RU"/>
        </w:rPr>
        <w:t xml:space="preserve">56,96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грн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 xml:space="preserve"> : 60 хв х 5 хв =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uk-UA" w:eastAsia="ru-RU"/>
        </w:rPr>
        <w:t>4,75 грн. + 0,13 грн. = 4,88 грн.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val="uk-UA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Далі перейдемо до визначення 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частки адміністративних витрат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, яка враховується при визначенні вартості платної соціальної послуги. З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гідно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п.3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Порядку №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268 визначено, що адміністративні витрати включаються до тарифу на платну соціальну послугу в розмірі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 не більш як 15 %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витрат на оплату праці, визначених за нормами обслуговування для надання цієї послуги працівником.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 xml:space="preserve"> У зв’язку з низькою платіжеспроможністю підопічних територіального центру, частку адміністративних витрат необхідно враховувати в розмірі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uk-UA" w:eastAsia="ru-RU"/>
        </w:rPr>
        <w:t>10 %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 xml:space="preserve"> (9455,00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грн. :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166 год х 10 % : 60 хв. х 5 хв.=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b/>
          <w:sz w:val="24"/>
          <w:szCs w:val="24"/>
          <w:lang w:val="uk-UA" w:eastAsia="ru-RU"/>
        </w:rPr>
        <w:t>0,47 грн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.).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val="uk-UA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Тепер, розрахуємо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uk-UA" w:eastAsia="ru-RU"/>
        </w:rPr>
        <w:t>вартість</w:t>
      </w:r>
      <w:r>
        <w:rPr>
          <w:rFonts w:eastAsia="Times New Roman" w:cs="Times New Roman" w:ascii="Times New Roman" w:hAnsi="Times New Roman"/>
          <w:b/>
          <w:bCs/>
          <w:color w:val="333333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uk-UA" w:eastAsia="ru-RU"/>
        </w:rPr>
        <w:t>надання соціальної послуги протягом однієї людино-години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uk-UA" w:eastAsia="ru-RU"/>
        </w:rPr>
        <w:t>ВОГ = ПВ + ЧАВ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=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4,88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грн. +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0,47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грн. =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uk-UA" w:eastAsia="ru-RU"/>
        </w:rPr>
        <w:t>5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uk-UA" w:eastAsia="ru-RU"/>
        </w:rPr>
        <w:t>,35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 грн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Визначивши вартість надання соціальної послуги протягом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5 хвилин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, перейдемо до розрахунку 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загальної вартості послуги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 xml:space="preserve"> за 5 хвилин.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Тепер обчислимо вартість платної соціальної послуги: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ВСП = ВЧ х ВОГ х КО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=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1 год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х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  <w:t>5,35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грн. х 1 люд. = 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uk-UA" w:eastAsia="ru-RU"/>
        </w:rPr>
        <w:t>5,35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грн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uk-UA"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uk-UA" w:eastAsia="ru-RU"/>
        </w:rPr>
        <w:t xml:space="preserve">Таким чином, вартість надання платної соціальної послуги за 5 хвилин 5,35 грн.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color w:val="333333"/>
          <w:sz w:val="21"/>
          <w:szCs w:val="21"/>
          <w:lang w:val="uk-UA"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color w:val="333333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uk-UA" w:eastAsia="ru-RU"/>
        </w:rPr>
        <w:t>Додаток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Розрахунок тарифу на платну соціальну послугу за 5 хв </w:t>
      </w:r>
      <w:r>
        <w:rPr>
          <w:rFonts w:ascii="Times New Roman" w:hAnsi="Times New Roman"/>
          <w:sz w:val="24"/>
          <w:szCs w:val="24"/>
          <w:lang w:val="uk-UA"/>
        </w:rPr>
        <w:t xml:space="preserve">станом на 01.01.2023р. </w:t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Витрати на заробітну плату соціального робітника 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за місяць</w:t>
      </w:r>
    </w:p>
    <w:tbl>
      <w:tblPr>
        <w:tblW w:w="997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1"/>
        <w:gridCol w:w="7679"/>
        <w:gridCol w:w="1815"/>
      </w:tblGrid>
      <w:tr>
        <w:trPr>
          <w:trHeight w:val="890" w:hRule="atLeast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200"/>
              <w:ind w:left="0" w:right="340" w:hanging="0"/>
              <w:jc w:val="both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Витрати на з/пл.,грн.</w:t>
            </w:r>
          </w:p>
        </w:tc>
      </w:tr>
      <w:tr>
        <w:trPr/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Посадовий оклад соціального робітника на 01.01.2023р. розряд 6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4973,00</w:t>
            </w:r>
          </w:p>
        </w:tc>
      </w:tr>
      <w:tr>
        <w:trPr>
          <w:trHeight w:val="496" w:hRule="atLeast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Надбавка, вислуга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635,58</w:t>
            </w:r>
          </w:p>
        </w:tc>
      </w:tr>
      <w:tr>
        <w:trPr>
          <w:trHeight w:val="496" w:hRule="atLeast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Обов’язкова доплата до мінімальної заробітної плати (до 6700,00 грн)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1727,00</w:t>
            </w:r>
          </w:p>
        </w:tc>
      </w:tr>
      <w:tr>
        <w:trPr>
          <w:trHeight w:val="496" w:hRule="atLeast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Щорічна матеріальна допомога  на оздоровлення в розмірі посадового окладу 4973,00/12 міс= 414,42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414,42</w:t>
            </w:r>
          </w:p>
        </w:tc>
      </w:tr>
      <w:tr>
        <w:trPr/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Всього:                             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7750,00</w:t>
            </w:r>
          </w:p>
        </w:tc>
      </w:tr>
    </w:tbl>
    <w:p>
      <w:pPr>
        <w:pStyle w:val="Normal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Середній фонд робочого часу на місяць у 2023р: 1986 (год/рік) : 12(міс) =165,5 =166 год</w:t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  <w:lang w:val="uk-UA"/>
        </w:rPr>
        <w:t>Витрати на заробітну плату соціального робітника за 1 годину</w:t>
      </w:r>
    </w:p>
    <w:p>
      <w:pPr>
        <w:pStyle w:val="Normal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7750,00 грн: 166 год =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46,69 грн.</w:t>
      </w:r>
    </w:p>
    <w:p>
      <w:pPr>
        <w:pStyle w:val="Normal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Нарахування на зарплату 22 % </w:t>
      </w:r>
    </w:p>
    <w:p>
      <w:pPr>
        <w:pStyle w:val="Normal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46,69 * 22 %  = 10,27 грн.</w:t>
      </w:r>
    </w:p>
    <w:p>
      <w:pPr>
        <w:pStyle w:val="Normal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Всього ( за 1 год): 56,96 грн.     </w:t>
      </w:r>
    </w:p>
    <w:p>
      <w:pPr>
        <w:pStyle w:val="Normal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  <w:lang w:val="uk-UA"/>
        </w:rPr>
        <w:t>Витрати на оплату праці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uk-UA"/>
        </w:rPr>
        <w:t>за 5 хв</w:t>
      </w:r>
    </w:p>
    <w:p>
      <w:pPr>
        <w:pStyle w:val="Normal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56,96 : 60хв*5хв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=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4,75 грн.</w:t>
      </w:r>
    </w:p>
    <w:p>
      <w:pPr>
        <w:pStyle w:val="Normal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2. Прямі матеріальні витрати </w:t>
      </w:r>
      <w:r>
        <w:rPr>
          <w:rFonts w:ascii="Times New Roman" w:hAnsi="Times New Roman"/>
          <w:sz w:val="24"/>
          <w:szCs w:val="24"/>
          <w:lang w:val="uk-UA"/>
        </w:rPr>
        <w:t xml:space="preserve">згідно розрахунку (додаток 1) прямі матеріальні витрати за 5хв =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0,13 </w:t>
      </w:r>
      <w:r>
        <w:rPr>
          <w:rFonts w:ascii="Times New Roman" w:hAnsi="Times New Roman"/>
          <w:sz w:val="24"/>
          <w:szCs w:val="24"/>
          <w:lang w:val="uk-UA"/>
        </w:rPr>
        <w:t>грн.</w:t>
      </w:r>
    </w:p>
    <w:p>
      <w:pPr>
        <w:pStyle w:val="Normal"/>
        <w:tabs>
          <w:tab w:val="clear" w:pos="708"/>
          <w:tab w:val="left" w:pos="220" w:leader="none"/>
          <w:tab w:val="center" w:pos="5102" w:leader="none"/>
        </w:tabs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3. Розрахунок тарифу на платну соціальну послугу за 5 хв</w:t>
      </w:r>
    </w:p>
    <w:tbl>
      <w:tblPr>
        <w:tblW w:w="99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75"/>
        <w:gridCol w:w="7425"/>
        <w:gridCol w:w="1845"/>
      </w:tblGrid>
      <w:tr>
        <w:trPr>
          <w:trHeight w:val="541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Сума, грн.</w:t>
            </w:r>
          </w:p>
        </w:tc>
      </w:tr>
      <w:tr>
        <w:trPr>
          <w:trHeight w:val="2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Витрати на оплату праці з нарахуваннями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4,75</w:t>
            </w:r>
          </w:p>
        </w:tc>
      </w:tr>
      <w:tr>
        <w:trPr>
          <w:trHeight w:val="2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Прямі матеріальні витрати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0,13</w:t>
            </w:r>
          </w:p>
        </w:tc>
      </w:tr>
      <w:tr>
        <w:trPr>
          <w:trHeight w:val="2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4,88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40" w:leader="none"/>
        </w:tabs>
        <w:spacing w:lineRule="auto" w:line="240" w:before="0" w:after="0"/>
        <w:jc w:val="both"/>
        <w:rPr>
          <w:rFonts w:ascii="Times New Roman" w:hAnsi="Times New Roman"/>
          <w:b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</w:r>
    </w:p>
    <w:sectPr>
      <w:type w:val="nextPage"/>
      <w:pgSz w:w="11906" w:h="16838"/>
      <w:pgMar w:left="1701" w:right="567" w:header="0" w:top="420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f052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rsid w:val="007f0526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rsid w:val="007f0526"/>
    <w:pPr>
      <w:spacing w:before="0" w:after="140"/>
    </w:pPr>
    <w:rPr/>
  </w:style>
  <w:style w:type="paragraph" w:styleId="Style16">
    <w:name w:val="List"/>
    <w:basedOn w:val="Style15"/>
    <w:rsid w:val="007f0526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Caption">
    <w:name w:val="caption"/>
    <w:basedOn w:val="Normal"/>
    <w:qFormat/>
    <w:rsid w:val="007f052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 w:customStyle="1">
    <w:name w:val="Покажчик"/>
    <w:basedOn w:val="Normal"/>
    <w:qFormat/>
    <w:rsid w:val="007f0526"/>
    <w:pPr>
      <w:suppressLineNumbers/>
    </w:pPr>
    <w:rPr>
      <w:rFonts w:cs="Arial"/>
    </w:rPr>
  </w:style>
  <w:style w:type="paragraph" w:styleId="BodyText2">
    <w:name w:val="Body Text 2"/>
    <w:basedOn w:val="Normal"/>
    <w:qFormat/>
    <w:pPr>
      <w:suppressAutoHyphens w:val="true"/>
      <w:spacing w:lineRule="auto" w:line="240" w:before="0" w:after="0"/>
      <w:ind w:left="0" w:right="0" w:firstLine="720"/>
      <w:jc w:val="center"/>
    </w:pPr>
    <w:rPr>
      <w:rFonts w:ascii="Times New Roman" w:hAnsi="Times New Roman" w:eastAsia="Times New Roman" w:cs="Times New Roman"/>
      <w:sz w:val="24"/>
      <w:szCs w:val="20"/>
      <w:lang w:eastAsia="zh-CN"/>
    </w:rPr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Application>LibreOffice/7.1.5.2$Linux_X86_64 LibreOffice_project/10$Build-2</Application>
  <AppVersion>15.0000</AppVersion>
  <Pages>6</Pages>
  <Words>1586</Words>
  <Characters>10135</Characters>
  <CharactersWithSpaces>12258</CharactersWithSpaces>
  <Paragraphs>176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2022-12-12T09:36:00Z</dcterms:created>
  <dc:creator>Admin</dc:creator>
  <dc:description/>
  <dc:language>uk-UA</dc:language>
  <cp:lastModifiedBy/>
  <dcterms:modified xsi:type="dcterms:W3CDTF">2022-12-29T10:31:49Z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