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-123825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u w:val="single"/>
          <w:lang w:val="uk-UA" w:eastAsia="ru-RU" w:bidi="ar-SA"/>
        </w:rPr>
        <w:t xml:space="preserve">26.07.2021 р.   </w:t>
      </w: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м.Покров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 xml:space="preserve">№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u w:val="single"/>
          <w:lang w:val="uk-UA" w:eastAsia="ru-RU" w:bidi="ar-SA"/>
        </w:rPr>
        <w:t>315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/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/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народження, яка  має статус дитини, позбавленої батьківського піклування.</w:t>
      </w:r>
    </w:p>
    <w:p>
      <w:pPr>
        <w:pStyle w:val="Rvps2"/>
        <w:shd w:val="clear" w:fill="FFFFFF"/>
        <w:suppressAutoHyphens w:val="true"/>
        <w:spacing w:lineRule="auto" w:line="240" w:before="0" w:after="0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За рішенням Орджонікідзевського міського суду Дніпропетровської області від 07.06.2021 р., яке набрало законної сили 13.07.2021 р.,  малолітню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 відібрано у матері,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батька, гр.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року народження, без позбавлення останніх батьківських прав.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№10,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малолітню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року народження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2.З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Дубіну Наталю Юзефівну, директора КЗ “МГБ “Надія” ПМР ДО”,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року народження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за   юридичною 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сімейних форм виховання.</w:t>
      </w:r>
    </w:p>
    <w:p>
      <w:pPr>
        <w:pStyle w:val="Normal"/>
        <w:spacing w:before="52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22"/>
          <w:szCs w:val="22"/>
          <w:lang w:val="uk-UA"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16"/>
          <w:szCs w:val="16"/>
          <w:lang w:val="uk-UA"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до 26 липня щорічно  надавати  до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</w:p>
    <w:p>
      <w:pPr>
        <w:pStyle w:val="Normal"/>
        <w:suppressAutoHyphens w:val="true"/>
        <w:ind w:hanging="0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13"/>
        <w:spacing w:before="114" w:after="114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114" w:after="114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114" w:after="114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495" w:top="112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LibreOffice/7.1.3.2$Windows_X86_64 LibreOffice_project/47f78053abe362b9384784d31a6e56f8511eb1c1</Application>
  <AppVersion>15.0000</AppVersion>
  <Pages>3</Pages>
  <Words>568</Words>
  <Characters>4168</Characters>
  <CharactersWithSpaces>4903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2021-07-27T18:38:42Z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