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3446780</wp:posOffset>
                </wp:positionH>
                <wp:positionV relativeFrom="paragraph">
                  <wp:posOffset>-178435</wp:posOffset>
                </wp:positionV>
                <wp:extent cx="2817495" cy="525145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360" cy="52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30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32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9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28.11.22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30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2520" rIns="2520" tIns="2520" bIns="25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1" path="m0,0l-2147483645,0l-2147483645,-2147483646l0,-2147483646xe" fillcolor="white" stroked="f" o:allowincell="f" style="position:absolute;margin-left:271.4pt;margin-top:-14.05pt;width:221.8pt;height:41.3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30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32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9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28.11.22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30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u w:val="single"/>
          <w:lang w:val="uk-UA" w:eastAsia="ru-RU" w:bidi="ar-SA"/>
        </w:rPr>
        <w:t xml:space="preserve">26.07.2021 р.   </w:t>
      </w: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м.Покров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>№ 315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яка  має статус дитини, позбавленої батьківського піклування.</w:t>
      </w:r>
    </w:p>
    <w:p>
      <w:pPr>
        <w:pStyle w:val="Rvps2"/>
        <w:shd w:val="clear" w:fill="FFFFFF"/>
        <w:suppressAutoHyphens w:val="true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За рішенням Орджонікідзевського міського суду Дніпропетровської області від 07.06.2021 р., яке набрало законної сили 13.07.2021 р.,  малолітню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хххх року народження відібрано у матері,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хххх року народження, батька,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хххх року народження, без позбавлення останніх батьківських прав.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№10,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малолітню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2.З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хххх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Дубіну Наталю Юзефівну, директора КЗ “МГБ “Надія” ПМР ДО”,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хххх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року народження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за   юридичною 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хххх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сімейних форм виховання.</w:t>
      </w:r>
    </w:p>
    <w:p>
      <w:pPr>
        <w:pStyle w:val="Normal"/>
        <w:spacing w:before="52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хххх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22"/>
          <w:szCs w:val="22"/>
          <w:lang w:val="uk-UA"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до 26 липня щорічно  надавати  до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13"/>
        <w:spacing w:before="114" w:after="114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114" w:after="114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114" w:after="114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495" w:top="112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Arial Black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LibreOffice/7.4.3.2$Windows_X86_64 LibreOffice_project/1048a8393ae2eeec98dff31b5c133c5f1d08b890</Application>
  <AppVersion>15.0000</AppVersion>
  <Pages>3</Pages>
  <Words>576</Words>
  <Characters>4217</Characters>
  <CharactersWithSpaces>4964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2023-03-09T13:10:57Z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