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5313680</wp:posOffset>
                </wp:positionH>
                <wp:positionV relativeFrom="paragraph">
                  <wp:posOffset>-436245</wp:posOffset>
                </wp:positionV>
                <wp:extent cx="338455" cy="21526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80" cy="21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f" style="position:absolute;margin-left:418.4pt;margin-top:-34.35pt;width:26.55pt;height:16.85pt;mso-wrap-style:none;v-text-anchor:middle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02.08.2022</w:t>
      </w:r>
      <w:r>
        <w:rPr>
          <w:b/>
          <w:bCs/>
          <w:sz w:val="28"/>
          <w:szCs w:val="28"/>
          <w:lang w:val="uk-UA"/>
        </w:rPr>
        <w:t xml:space="preserve">                  </w:t>
      </w:r>
      <w:r>
        <w:rPr/>
        <w:t xml:space="preserve">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ar-SA"/>
        </w:rPr>
        <w:t>200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Про затвердження умов оренди частини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нежитлової будівлі загальною площею 45,0 кв.м.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розташованої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вул.Партизанська, 71в м.Покров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включеної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Розглянувши заяву потенційного орендаря Закладу обєднання громадян Дніпропетровської обласної організації Товариства сприяння оборони України "НІКОПОЛЬСЬКА АВТОМОБІЛЬНА ШКОЛА" (ID заяви: </w:t>
      </w:r>
      <w:hyperlink r:id="rId3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8F8F8" w:val="clear"/>
            <w:lang w:eastAsia="ru-RU"/>
          </w:rPr>
          <w:t>RGLR001-UA-20220727-49310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) на оренду об’єкта оренди, включеного до Переліку першого типу, подану 27.07.2022 року через ЕТС “ProZorro.Продажі”, (ID об'єкта: </w:t>
      </w:r>
      <w:hyperlink r:id="rId4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eastAsia="ru-RU"/>
          </w:rPr>
          <w:t>RGL001-UA-20201123-76319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“частина нежитлової будівлі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, загальною площею 45,0 кв.м., за адресою: Дніпропетровська область, Нікопольський район, м.Покров, вул.Партизанська, 71” (ID об'єкта: </w:t>
      </w:r>
      <w:hyperlink r:id="rId5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FFFFF" w:val="clear"/>
            <w:lang w:val="uk-UA" w:eastAsia="ru-RU" w:bidi="ar-SA"/>
          </w:rPr>
          <w:t>RGL001-UA-20201123-76319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)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, передача 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  <w:t>Міський голова                                                                      Олександр ШАПОВАЛ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firstLine="5329"/>
        <w:jc w:val="left"/>
        <w:rPr>
          <w:rFonts w:ascii="Liberation Serif" w:hAnsi="Liberation Serif"/>
        </w:rPr>
      </w:pP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№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1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“частина нежитлової будівлі, загальною площею 45,0 кв.м., за адресою: Дніпропетровська область, Нікопольський район, м.Покров, вул.Партизанська, 71” (ID об'єкта: RGL001-UA-20201123-76319)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“частина нежитлової будівлі, загальною площею 45,0 кв.м., за адресою: Дніпропетровська область, Нікопольський район, м.Покров, вул.Партизанська, 71” (ID об'єкта: RGL001-UA-20201123-76319)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844,65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із зниженням стартової ціни —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422,33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422,33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5582,25 грн.  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5 календарних днів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uk-UA" w:bidi="ar-SA"/>
        </w:rPr>
        <w:t>- з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hd w:fill="auto" w:val="clear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../../../../home/svergun/&#1047;&#1072;&#1075;&#1088;&#1091;&#1079;&#1082;&#1080;/_parent" TargetMode="External"/><Relationship Id="rId4" Type="http://schemas.openxmlformats.org/officeDocument/2006/relationships/hyperlink" Target="../../../../../../home/svergun/&#1047;&#1072;&#1075;&#1088;&#1091;&#1079;&#1082;&#1080;/_blank" TargetMode="External"/><Relationship Id="rId5" Type="http://schemas.openxmlformats.org/officeDocument/2006/relationships/hyperlink" Target="../../../../../../home/svergun/&#1047;&#1072;&#1075;&#1088;&#1091;&#1079;&#1082;&#1080;/_blan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855</TotalTime>
  <Application>LibreOffice/7.1.5.2$Linux_X86_64 LibreOffice_project/10$Build-2</Application>
  <AppVersion>15.0000</AppVersion>
  <Pages>3</Pages>
  <Words>547</Words>
  <Characters>3949</Characters>
  <CharactersWithSpaces>4829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2022-09-14T11:49:50Z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