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21"/>
        <w:ind w:hanging="0"/>
        <w:jc w:val="left"/>
        <w:rPr>
          <w:sz w:val="28"/>
          <w:szCs w:val="28"/>
        </w:rPr>
      </w:pPr>
      <w:r>
        <w:rPr>
          <w:sz w:val="28"/>
          <w:szCs w:val="28"/>
        </w:rPr>
        <w:drawing>
          <wp:anchor behindDoc="1" distT="0" distB="0" distL="0" distR="0" simplePos="0" locked="0" layoutInCell="1" allowOverlap="1" relativeHeight="2">
            <wp:simplePos x="0" y="0"/>
            <wp:positionH relativeFrom="column">
              <wp:posOffset>2670175</wp:posOffset>
            </wp:positionH>
            <wp:positionV relativeFrom="paragraph">
              <wp:posOffset>218440</wp:posOffset>
            </wp:positionV>
            <wp:extent cx="444500" cy="63500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tretch>
                      <a:fillRect/>
                    </a:stretch>
                  </pic:blipFill>
                  <pic:spPr bwMode="auto">
                    <a:xfrm>
                      <a:off x="0" y="0"/>
                      <a:ext cx="444500" cy="635000"/>
                    </a:xfrm>
                    <a:prstGeom prst="rect">
                      <a:avLst/>
                    </a:prstGeom>
                  </pic:spPr>
                </pic:pic>
              </a:graphicData>
            </a:graphic>
          </wp:anchor>
        </w:drawing>
      </w:r>
    </w:p>
    <w:p>
      <w:pPr>
        <w:pStyle w:val="Normal"/>
        <w:tabs>
          <w:tab w:val="left" w:pos="3930" w:leader="none"/>
        </w:tabs>
        <w:jc w:val="right"/>
        <w:rPr>
          <w:sz w:val="28"/>
          <w:szCs w:val="28"/>
          <w:lang w:val="uk-UA"/>
        </w:rPr>
      </w:pPr>
      <w:r>
        <w:rPr>
          <w:sz w:val="28"/>
          <w:szCs w:val="28"/>
          <w:lang w:val="uk-UA"/>
        </w:rPr>
        <w:t>копія</w:t>
      </w:r>
    </w:p>
    <w:p>
      <w:pPr>
        <w:pStyle w:val="Normal"/>
        <w:ind w:left="-180" w:hanging="0"/>
        <w:jc w:val="center"/>
        <w:rPr>
          <w:sz w:val="10"/>
          <w:szCs w:val="10"/>
          <w:lang w:val="uk-UA"/>
        </w:rPr>
      </w:pPr>
      <w:r>
        <w:rPr>
          <w:sz w:val="10"/>
          <w:szCs w:val="10"/>
          <w:lang w:val="uk-UA"/>
        </w:rPr>
      </w:r>
    </w:p>
    <w:p>
      <w:pPr>
        <w:pStyle w:val="Normal"/>
        <w:ind w:left="-180" w:hanging="0"/>
        <w:jc w:val="center"/>
        <w:rPr>
          <w:b/>
          <w:b/>
          <w:bCs/>
          <w:sz w:val="28"/>
          <w:szCs w:val="28"/>
          <w:lang w:val="uk-UA"/>
        </w:rPr>
      </w:pPr>
      <w:r>
        <w:rPr>
          <w:b/>
          <w:bCs/>
          <w:sz w:val="28"/>
          <w:szCs w:val="28"/>
          <w:lang w:val="uk-UA"/>
        </w:rPr>
        <w:t>МІСЦЕВЕ    САМОВРЯДУВАННЯ</w:t>
      </w:r>
    </w:p>
    <w:p>
      <w:pPr>
        <w:pStyle w:val="Normal"/>
        <w:ind w:left="-180" w:hanging="0"/>
        <w:jc w:val="center"/>
        <w:rPr>
          <w:b/>
          <w:b/>
          <w:bCs/>
          <w:sz w:val="28"/>
          <w:szCs w:val="28"/>
          <w:lang w:val="uk-UA"/>
        </w:rPr>
      </w:pPr>
      <w:r>
        <w:rPr>
          <w:b/>
          <w:bCs/>
          <w:sz w:val="28"/>
          <w:szCs w:val="28"/>
          <w:lang w:val="uk-UA"/>
        </w:rPr>
        <w:t>ВИКОНАВЧИЙ  КОМІТЕТ   ПОКРОВСЬКОЇ  МІСЬКОЇ  РАДИ</w:t>
      </w:r>
    </w:p>
    <w:p>
      <w:pPr>
        <w:pStyle w:val="Normal"/>
        <w:ind w:left="-180" w:hanging="0"/>
        <w:jc w:val="center"/>
        <w:rPr>
          <w:b/>
          <w:b/>
          <w:bCs/>
          <w:sz w:val="28"/>
          <w:szCs w:val="28"/>
          <w:lang w:val="uk-UA"/>
        </w:rPr>
      </w:pPr>
      <w:r>
        <w:rPr>
          <w:b/>
          <w:bCs/>
          <w:sz w:val="28"/>
          <w:szCs w:val="28"/>
          <w:lang w:val="uk-UA"/>
        </w:rPr>
        <w:t>ДНІПРОПЕТРОВСЬКОЇ   ОБЛАСТІ</w:t>
      </w:r>
    </w:p>
    <w:p>
      <w:pPr>
        <w:pStyle w:val="Normal"/>
        <w:ind w:left="-180" w:hanging="0"/>
        <w:jc w:val="center"/>
        <w:rPr>
          <w:b/>
          <w:b/>
          <w:bCs/>
          <w:sz w:val="16"/>
          <w:szCs w:val="16"/>
          <w:lang w:val="en-US"/>
        </w:rPr>
      </w:pPr>
      <w:r>
        <w:rPr/>
        <w:drawing>
          <wp:inline distT="0" distB="0" distL="0" distR="0">
            <wp:extent cx="6287135" cy="67310"/>
            <wp:effectExtent l="0" t="0" r="0" b="0"/>
            <wp:docPr id="2"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3" descr=""/>
                    <pic:cNvPicPr>
                      <a:picLocks noChangeAspect="1" noChangeArrowheads="1"/>
                    </pic:cNvPicPr>
                  </pic:nvPicPr>
                  <pic:blipFill>
                    <a:blip r:embed="rId3"/>
                    <a:stretch>
                      <a:fillRect/>
                    </a:stretch>
                  </pic:blipFill>
                  <pic:spPr bwMode="auto">
                    <a:xfrm>
                      <a:off x="0" y="0"/>
                      <a:ext cx="6287135" cy="67310"/>
                    </a:xfrm>
                    <a:prstGeom prst="rect">
                      <a:avLst/>
                    </a:prstGeom>
                  </pic:spPr>
                </pic:pic>
              </a:graphicData>
            </a:graphic>
          </wp:inline>
        </w:drawing>
      </w:r>
    </w:p>
    <w:p>
      <w:pPr>
        <w:pStyle w:val="Normal"/>
        <w:ind w:left="-180" w:hanging="0"/>
        <w:jc w:val="center"/>
        <w:rPr>
          <w:b/>
          <w:b/>
          <w:bCs/>
          <w:sz w:val="16"/>
          <w:szCs w:val="16"/>
          <w:lang w:val="en-US"/>
        </w:rPr>
      </w:pPr>
      <w:r>
        <w:rPr>
          <w:b/>
          <w:bCs/>
          <w:sz w:val="16"/>
          <w:szCs w:val="16"/>
          <w:lang w:val="en-US"/>
        </w:rPr>
      </w:r>
    </w:p>
    <w:p>
      <w:pPr>
        <w:pStyle w:val="Normal"/>
        <w:ind w:left="-180" w:hanging="0"/>
        <w:jc w:val="center"/>
        <w:rPr>
          <w:b/>
          <w:b/>
          <w:bCs/>
          <w:sz w:val="28"/>
          <w:szCs w:val="28"/>
          <w:lang w:val="uk-UA"/>
        </w:rPr>
      </w:pPr>
      <w:r>
        <w:rPr>
          <w:b/>
          <w:bCs/>
          <w:sz w:val="28"/>
          <w:szCs w:val="28"/>
          <w:lang w:val="uk-UA"/>
        </w:rPr>
        <w:t>РІШЕННЯ</w:t>
      </w:r>
    </w:p>
    <w:p>
      <w:pPr>
        <w:pStyle w:val="Normal"/>
        <w:ind w:left="-180" w:hanging="0"/>
        <w:jc w:val="center"/>
        <w:rPr>
          <w:b/>
          <w:b/>
          <w:bCs/>
          <w:sz w:val="28"/>
          <w:szCs w:val="28"/>
          <w:lang w:val="uk-UA"/>
        </w:rPr>
      </w:pPr>
      <w:r>
        <w:rPr>
          <w:b/>
          <w:bCs/>
          <w:sz w:val="28"/>
          <w:szCs w:val="28"/>
          <w:lang w:val="uk-UA"/>
        </w:rPr>
      </w:r>
    </w:p>
    <w:p>
      <w:pPr>
        <w:pStyle w:val="21"/>
        <w:ind w:hanging="0"/>
        <w:jc w:val="both"/>
        <w:rPr/>
      </w:pPr>
      <w:r>
        <w:rPr>
          <w:sz w:val="28"/>
          <w:szCs w:val="28"/>
        </w:rPr>
        <w:t xml:space="preserve"> </w:t>
      </w:r>
      <w:r>
        <w:rPr>
          <w:sz w:val="28"/>
          <w:szCs w:val="28"/>
        </w:rPr>
        <w:t>«</w:t>
      </w:r>
      <w:r>
        <w:rPr>
          <w:sz w:val="28"/>
          <w:szCs w:val="28"/>
        </w:rPr>
        <w:t>28</w:t>
      </w:r>
      <w:r>
        <w:rPr>
          <w:sz w:val="28"/>
          <w:szCs w:val="28"/>
        </w:rPr>
        <w:t xml:space="preserve">» </w:t>
      </w:r>
      <w:r>
        <w:rPr>
          <w:sz w:val="28"/>
          <w:szCs w:val="28"/>
        </w:rPr>
        <w:t>лютого</w:t>
      </w:r>
      <w:r>
        <w:rPr>
          <w:sz w:val="28"/>
          <w:szCs w:val="28"/>
        </w:rPr>
        <w:t xml:space="preserve">   2018р.                                                                                          №</w:t>
      </w:r>
      <w:r>
        <w:rPr>
          <w:sz w:val="28"/>
          <w:szCs w:val="28"/>
        </w:rPr>
        <w:t>67</w:t>
      </w:r>
      <w:r>
        <w:rPr>
          <w:sz w:val="28"/>
          <w:szCs w:val="28"/>
        </w:rPr>
        <w:t xml:space="preserve"> </w:t>
      </w:r>
    </w:p>
    <w:p>
      <w:pPr>
        <w:pStyle w:val="21"/>
        <w:tabs>
          <w:tab w:val="left" w:pos="3435" w:leader="none"/>
        </w:tabs>
        <w:ind w:hanging="0"/>
        <w:jc w:val="left"/>
        <w:rPr>
          <w:b/>
          <w:b/>
          <w:bCs/>
          <w:sz w:val="28"/>
          <w:szCs w:val="28"/>
        </w:rPr>
      </w:pPr>
      <w:r>
        <w:rPr>
          <w:b/>
          <w:bCs/>
          <w:sz w:val="28"/>
          <w:szCs w:val="28"/>
        </w:rPr>
        <w:tab/>
      </w:r>
    </w:p>
    <w:p>
      <w:pPr>
        <w:pStyle w:val="Normal"/>
        <w:ind w:right="4110" w:hanging="0"/>
        <w:jc w:val="both"/>
        <w:rPr>
          <w:sz w:val="28"/>
          <w:szCs w:val="28"/>
          <w:lang w:val="uk-UA"/>
        </w:rPr>
      </w:pPr>
      <w:r>
        <w:rPr>
          <w:sz w:val="28"/>
          <w:szCs w:val="28"/>
          <w:lang w:val="uk-UA"/>
        </w:rPr>
        <w:t xml:space="preserve">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 </w:t>
      </w:r>
    </w:p>
    <w:p>
      <w:pPr>
        <w:pStyle w:val="Normal"/>
        <w:ind w:right="4110" w:hanging="0"/>
        <w:jc w:val="both"/>
        <w:rPr>
          <w:sz w:val="28"/>
          <w:szCs w:val="28"/>
          <w:lang w:val="uk-UA"/>
        </w:rPr>
      </w:pPr>
      <w:r>
        <w:rPr>
          <w:sz w:val="28"/>
          <w:szCs w:val="28"/>
          <w:lang w:val="uk-UA"/>
        </w:rPr>
        <w:t>______________________________________</w:t>
      </w:r>
    </w:p>
    <w:p>
      <w:pPr>
        <w:pStyle w:val="2"/>
        <w:jc w:val="left"/>
        <w:rPr/>
      </w:pPr>
      <w:r>
        <w:rPr/>
        <w:t xml:space="preserve">         </w:t>
      </w:r>
    </w:p>
    <w:p>
      <w:pPr>
        <w:pStyle w:val="2"/>
        <w:jc w:val="both"/>
        <w:rPr>
          <w:b w:val="false"/>
          <w:b w:val="false"/>
          <w:bCs w:val="false"/>
        </w:rPr>
      </w:pPr>
      <w:r>
        <w:rPr>
          <w:b w:val="false"/>
          <w:bCs w:val="false"/>
        </w:rPr>
        <w:t xml:space="preserve">          </w:t>
      </w:r>
      <w:r>
        <w:rPr>
          <w:b w:val="false"/>
          <w:bCs w:val="false"/>
        </w:rPr>
        <w:t>Відповідно рішення 24 сесії міської ради 6 скликання від 26 липня    2012 року за № 17 «Про затвердження Положення про порядок розміщення тимчасових споруд у м. Орджонікідзе», рішення 11 сесії міської ради               7 скликання від  30 серпня  2016 року за № 8  «Про затвердження «Технічної документації з нормативної грошової оцінки земель міста Покров Дніпропетровської області», Наказу Міністерства аграрної політики та продовольства України від 25.11.2016 року № 489 «</w:t>
      </w:r>
      <w:bookmarkStart w:id="0" w:name="n4"/>
      <w:bookmarkEnd w:id="0"/>
      <w:r>
        <w:rPr>
          <w:rStyle w:val="Rvts23"/>
          <w:b w:val="false"/>
          <w:bCs w:val="false"/>
          <w:color w:val="000000"/>
        </w:rPr>
        <w:t xml:space="preserve">Про затвердження Порядку нормативної грошової оцінки земель населених пунктів» </w:t>
      </w:r>
      <w:r>
        <w:rPr>
          <w:b w:val="false"/>
          <w:bCs w:val="false"/>
        </w:rPr>
        <w:t xml:space="preserve">виконком міської ради </w:t>
      </w:r>
    </w:p>
    <w:p>
      <w:pPr>
        <w:pStyle w:val="Normal"/>
        <w:jc w:val="both"/>
        <w:rPr>
          <w:sz w:val="28"/>
          <w:szCs w:val="28"/>
          <w:lang w:val="uk-UA"/>
        </w:rPr>
      </w:pPr>
      <w:r>
        <w:rPr>
          <w:sz w:val="28"/>
          <w:szCs w:val="28"/>
          <w:lang w:val="uk-UA"/>
        </w:rPr>
      </w:r>
    </w:p>
    <w:p>
      <w:pPr>
        <w:pStyle w:val="Normal"/>
        <w:jc w:val="center"/>
        <w:rPr>
          <w:sz w:val="28"/>
          <w:szCs w:val="28"/>
          <w:lang w:val="uk-UA"/>
        </w:rPr>
      </w:pPr>
      <w:r>
        <w:rPr>
          <w:sz w:val="28"/>
          <w:szCs w:val="28"/>
          <w:lang w:val="uk-UA"/>
        </w:rPr>
        <w:t>ВИРІШИВ :</w:t>
      </w:r>
    </w:p>
    <w:p>
      <w:pPr>
        <w:pStyle w:val="Normal"/>
        <w:jc w:val="center"/>
        <w:rPr>
          <w:b/>
          <w:b/>
          <w:bCs/>
          <w:sz w:val="28"/>
          <w:szCs w:val="28"/>
          <w:lang w:val="uk-UA"/>
        </w:rPr>
      </w:pPr>
      <w:r>
        <w:rPr>
          <w:b/>
          <w:bCs/>
          <w:sz w:val="28"/>
          <w:szCs w:val="28"/>
          <w:lang w:val="uk-UA"/>
        </w:rPr>
      </w:r>
    </w:p>
    <w:p>
      <w:pPr>
        <w:pStyle w:val="Normal"/>
        <w:ind w:right="142" w:hanging="0"/>
        <w:jc w:val="both"/>
        <w:rPr>
          <w:sz w:val="28"/>
          <w:szCs w:val="28"/>
          <w:lang w:val="uk-UA"/>
        </w:rPr>
      </w:pPr>
      <w:r>
        <w:rPr>
          <w:sz w:val="28"/>
          <w:szCs w:val="28"/>
          <w:lang w:val="uk-UA"/>
        </w:rPr>
        <w:t xml:space="preserve">          </w:t>
      </w:r>
      <w:r>
        <w:rPr>
          <w:sz w:val="28"/>
          <w:szCs w:val="28"/>
          <w:lang w:val="uk-UA"/>
        </w:rPr>
        <w:t xml:space="preserve">1. Затвердити порядок здійснення розрахунків розміру плати за користування місцем розташування тимчасових споруд на території Покровської міської ради. </w:t>
      </w:r>
    </w:p>
    <w:p>
      <w:pPr>
        <w:pStyle w:val="Normal"/>
        <w:ind w:right="142" w:hanging="0"/>
        <w:jc w:val="both"/>
        <w:rPr>
          <w:sz w:val="28"/>
          <w:szCs w:val="28"/>
          <w:lang w:val="uk-UA"/>
        </w:rPr>
      </w:pPr>
      <w:r>
        <w:rPr>
          <w:sz w:val="28"/>
          <w:szCs w:val="28"/>
          <w:lang w:val="uk-UA"/>
        </w:rPr>
        <w:t xml:space="preserve">          </w:t>
      </w:r>
      <w:r>
        <w:rPr>
          <w:sz w:val="28"/>
          <w:szCs w:val="28"/>
          <w:lang w:val="uk-UA"/>
        </w:rPr>
        <w:t>2. Зобов’язати відділ землекористування здійснювати розрахунок  розміру плати за користування місцем розташування тимчасових споруд на території Покровської міської ради при оформленні Паспорта прив’язки тимчасових споруд та договору про користування місцем розташування тимчасових споруд.</w:t>
      </w:r>
    </w:p>
    <w:p>
      <w:pPr>
        <w:pStyle w:val="Normal"/>
        <w:ind w:right="57" w:firstLine="708"/>
        <w:jc w:val="both"/>
        <w:rPr>
          <w:sz w:val="28"/>
          <w:szCs w:val="28"/>
          <w:lang w:val="uk-UA"/>
        </w:rPr>
      </w:pPr>
      <w:r>
        <w:rPr>
          <w:sz w:val="28"/>
          <w:szCs w:val="28"/>
          <w:lang w:val="uk-UA"/>
        </w:rPr>
        <w:t xml:space="preserve"> </w:t>
      </w:r>
      <w:r>
        <w:rPr>
          <w:sz w:val="28"/>
          <w:szCs w:val="28"/>
          <w:lang w:val="uk-UA"/>
        </w:rPr>
        <w:t>3. Контроль за виконанням цього рішення покласти на заступника    міського голови О.Г.Чистякова.</w:t>
      </w:r>
    </w:p>
    <w:p>
      <w:pPr>
        <w:pStyle w:val="Normal"/>
        <w:ind w:left="180" w:right="57" w:hanging="0"/>
        <w:jc w:val="both"/>
        <w:rPr>
          <w:sz w:val="28"/>
          <w:szCs w:val="28"/>
          <w:lang w:val="uk-UA"/>
        </w:rPr>
      </w:pPr>
      <w:r>
        <w:rPr>
          <w:sz w:val="28"/>
          <w:szCs w:val="28"/>
          <w:lang w:val="uk-UA"/>
        </w:rPr>
      </w:r>
    </w:p>
    <w:p>
      <w:pPr>
        <w:pStyle w:val="Normal"/>
        <w:ind w:left="180" w:right="57" w:hanging="0"/>
        <w:jc w:val="both"/>
        <w:rPr>
          <w:sz w:val="28"/>
          <w:szCs w:val="28"/>
          <w:lang w:val="uk-UA"/>
        </w:rPr>
      </w:pPr>
      <w:r>
        <w:rPr>
          <w:sz w:val="28"/>
          <w:szCs w:val="28"/>
          <w:lang w:val="uk-UA"/>
        </w:rPr>
        <w:t xml:space="preserve">Міський голова               </w:t>
        <w:tab/>
        <w:tab/>
        <w:tab/>
        <w:t xml:space="preserve">                          </w:t>
        <w:tab/>
        <w:t>О.М.Шаповал</w:t>
      </w:r>
    </w:p>
    <w:p>
      <w:pPr>
        <w:pStyle w:val="Normal"/>
        <w:ind w:left="180" w:right="57" w:hanging="0"/>
        <w:jc w:val="both"/>
        <w:rPr>
          <w:sz w:val="28"/>
          <w:szCs w:val="28"/>
          <w:lang w:val="uk-UA"/>
        </w:rPr>
      </w:pPr>
      <w:r>
        <w:rPr/>
      </w:r>
    </w:p>
    <w:p>
      <w:pPr>
        <w:pStyle w:val="Normal"/>
        <w:ind w:left="180" w:right="57" w:hanging="0"/>
        <w:jc w:val="both"/>
        <w:rPr>
          <w:sz w:val="28"/>
          <w:szCs w:val="28"/>
          <w:lang w:val="uk-UA"/>
        </w:rPr>
      </w:pPr>
      <w:r>
        <w:rPr/>
      </w:r>
    </w:p>
    <w:p>
      <w:pPr>
        <w:pStyle w:val="Normal"/>
        <w:ind w:left="180" w:right="57" w:hanging="0"/>
        <w:jc w:val="both"/>
        <w:rPr>
          <w:sz w:val="28"/>
          <w:szCs w:val="28"/>
          <w:lang w:val="uk-UA"/>
        </w:rPr>
      </w:pPr>
      <w:r>
        <w:rPr/>
      </w:r>
    </w:p>
    <w:p>
      <w:pPr>
        <w:pStyle w:val="Normal"/>
        <w:ind w:left="180" w:right="57" w:hanging="0"/>
        <w:jc w:val="both"/>
        <w:rPr>
          <w:sz w:val="28"/>
          <w:szCs w:val="28"/>
          <w:lang w:val="uk-UA"/>
        </w:rPr>
      </w:pPr>
      <w:r>
        <w:rPr/>
      </w:r>
    </w:p>
    <w:p>
      <w:pPr>
        <w:pStyle w:val="Normal"/>
        <w:ind w:right="57" w:hanging="0"/>
        <w:jc w:val="both"/>
        <w:rPr>
          <w:sz w:val="20"/>
          <w:szCs w:val="20"/>
          <w:lang w:val="uk-UA"/>
        </w:rPr>
      </w:pPr>
      <w:r>
        <w:rPr>
          <w:sz w:val="20"/>
          <w:szCs w:val="20"/>
          <w:lang w:val="uk-UA"/>
        </w:rPr>
      </w:r>
    </w:p>
    <w:p>
      <w:pPr>
        <w:pStyle w:val="Normal"/>
        <w:ind w:right="57" w:hanging="0"/>
        <w:jc w:val="both"/>
        <w:rPr>
          <w:sz w:val="20"/>
          <w:szCs w:val="20"/>
          <w:lang w:val="uk-UA"/>
        </w:rPr>
      </w:pPr>
      <w:r>
        <w:rPr>
          <w:sz w:val="20"/>
          <w:szCs w:val="20"/>
          <w:lang w:val="uk-UA"/>
        </w:rPr>
      </w:r>
    </w:p>
    <w:p>
      <w:pPr>
        <w:pStyle w:val="Normal"/>
        <w:ind w:right="57" w:hanging="0"/>
        <w:jc w:val="both"/>
        <w:rPr>
          <w:sz w:val="20"/>
          <w:szCs w:val="20"/>
          <w:lang w:val="uk-UA"/>
        </w:rPr>
      </w:pPr>
      <w:r>
        <w:rPr>
          <w:sz w:val="20"/>
          <w:szCs w:val="20"/>
          <w:lang w:val="uk-UA"/>
        </w:rPr>
        <w:t>Цупрова Г.А., 4-43-56</w:t>
      </w:r>
    </w:p>
    <w:p>
      <w:pPr>
        <w:pStyle w:val="Normal"/>
        <w:jc w:val="center"/>
        <w:rPr>
          <w:b/>
          <w:b/>
          <w:bCs/>
          <w:sz w:val="28"/>
          <w:szCs w:val="28"/>
          <w:highlight w:val="yellow"/>
          <w:lang w:val="uk-UA"/>
        </w:rPr>
      </w:pPr>
      <w:r>
        <w:rPr>
          <w:b/>
          <w:bCs/>
          <w:sz w:val="28"/>
          <w:szCs w:val="28"/>
          <w:highlight w:val="yellow"/>
          <w:lang w:val="uk-UA"/>
        </w:rPr>
      </w:r>
    </w:p>
    <w:p>
      <w:pPr>
        <w:pStyle w:val="Normal"/>
        <w:jc w:val="center"/>
        <w:rPr>
          <w:b/>
          <w:b/>
          <w:bCs/>
          <w:sz w:val="28"/>
          <w:szCs w:val="28"/>
          <w:highlight w:val="yellow"/>
          <w:lang w:val="uk-UA"/>
        </w:rPr>
      </w:pPr>
      <w:r>
        <w:rPr>
          <w:b/>
          <w:bCs/>
          <w:sz w:val="28"/>
          <w:szCs w:val="28"/>
          <w:highlight w:val="yellow"/>
          <w:lang w:val="uk-UA"/>
        </w:rPr>
      </w:r>
    </w:p>
    <w:p>
      <w:pPr>
        <w:pStyle w:val="Normal"/>
        <w:jc w:val="center"/>
        <w:rPr>
          <w:b/>
          <w:b/>
          <w:bCs/>
          <w:sz w:val="28"/>
          <w:szCs w:val="28"/>
          <w:highlight w:val="yellow"/>
          <w:lang w:val="uk-UA"/>
        </w:rPr>
      </w:pPr>
      <w:r>
        <w:rPr>
          <w:b/>
          <w:bCs/>
          <w:sz w:val="28"/>
          <w:szCs w:val="28"/>
          <w:highlight w:val="yellow"/>
          <w:lang w:val="uk-UA"/>
        </w:rPr>
      </w:r>
    </w:p>
    <w:tbl>
      <w:tblPr>
        <w:tblW w:w="9570" w:type="dxa"/>
        <w:jc w:val="left"/>
        <w:tblInd w:w="-106" w:type="dxa"/>
        <w:tblBorders/>
        <w:tblCellMar>
          <w:top w:w="0" w:type="dxa"/>
          <w:left w:w="113" w:type="dxa"/>
          <w:bottom w:w="0" w:type="dxa"/>
          <w:right w:w="108" w:type="dxa"/>
        </w:tblCellMar>
        <w:tblLook w:val="0000"/>
      </w:tblPr>
      <w:tblGrid>
        <w:gridCol w:w="9570"/>
      </w:tblGrid>
      <w:tr>
        <w:trPr/>
        <w:tc>
          <w:tcPr>
            <w:tcW w:w="9570" w:type="dxa"/>
            <w:tcBorders/>
            <w:shd w:fill="auto" w:val="clear"/>
          </w:tcPr>
          <w:p>
            <w:pPr>
              <w:pStyle w:val="Normal"/>
              <w:ind w:left="5770" w:right="-33" w:hanging="0"/>
              <w:jc w:val="both"/>
              <w:rPr>
                <w:sz w:val="28"/>
                <w:szCs w:val="28"/>
                <w:lang w:val="uk-UA"/>
              </w:rPr>
            </w:pPr>
            <w:r>
              <w:rPr>
                <w:sz w:val="28"/>
                <w:szCs w:val="28"/>
                <w:lang w:val="uk-UA"/>
              </w:rPr>
              <w:t xml:space="preserve">    </w:t>
            </w:r>
            <w:r>
              <w:rPr>
                <w:sz w:val="28"/>
                <w:szCs w:val="28"/>
                <w:lang w:val="uk-UA"/>
              </w:rPr>
              <w:t>ЗАТВЕРДЖЕНО</w:t>
            </w:r>
          </w:p>
          <w:p>
            <w:pPr>
              <w:pStyle w:val="Normal"/>
              <w:ind w:left="6054" w:right="-33" w:firstLine="42"/>
              <w:jc w:val="both"/>
              <w:rPr>
                <w:sz w:val="28"/>
                <w:szCs w:val="28"/>
                <w:lang w:val="uk-UA"/>
              </w:rPr>
            </w:pPr>
            <w:r>
              <w:rPr>
                <w:sz w:val="28"/>
                <w:szCs w:val="28"/>
                <w:lang w:val="uk-UA"/>
              </w:rPr>
              <w:t xml:space="preserve">Рішення виконавчого  </w:t>
            </w:r>
          </w:p>
          <w:p>
            <w:pPr>
              <w:pStyle w:val="Normal"/>
              <w:ind w:left="6054" w:right="-33" w:firstLine="42"/>
              <w:jc w:val="both"/>
              <w:rPr>
                <w:sz w:val="28"/>
                <w:szCs w:val="28"/>
                <w:lang w:val="uk-UA"/>
              </w:rPr>
            </w:pPr>
            <w:r>
              <w:rPr>
                <w:sz w:val="28"/>
                <w:szCs w:val="28"/>
                <w:lang w:val="uk-UA"/>
              </w:rPr>
              <w:t>комітету Покровської міської ради</w:t>
            </w:r>
          </w:p>
          <w:p>
            <w:pPr>
              <w:pStyle w:val="Normal"/>
              <w:ind w:left="6054" w:right="-33" w:firstLine="42"/>
              <w:jc w:val="both"/>
              <w:rPr/>
            </w:pPr>
            <w:r>
              <w:rPr>
                <w:sz w:val="28"/>
                <w:szCs w:val="28"/>
                <w:lang w:val="uk-UA"/>
              </w:rPr>
              <w:t xml:space="preserve">від </w:t>
            </w:r>
            <w:r>
              <w:rPr>
                <w:sz w:val="28"/>
                <w:szCs w:val="28"/>
                <w:lang w:val="uk-UA"/>
              </w:rPr>
              <w:t>28.02.</w:t>
            </w:r>
            <w:r>
              <w:rPr>
                <w:sz w:val="28"/>
                <w:szCs w:val="28"/>
                <w:lang w:val="uk-UA"/>
              </w:rPr>
              <w:t xml:space="preserve">2018 р.  № </w:t>
            </w:r>
            <w:r>
              <w:rPr>
                <w:sz w:val="28"/>
                <w:szCs w:val="28"/>
                <w:lang w:val="uk-UA"/>
              </w:rPr>
              <w:t>67</w:t>
            </w:r>
          </w:p>
        </w:tc>
      </w:tr>
    </w:tbl>
    <w:p>
      <w:pPr>
        <w:pStyle w:val="Normal"/>
        <w:rPr>
          <w:b/>
          <w:b/>
          <w:bCs/>
          <w:sz w:val="28"/>
          <w:szCs w:val="28"/>
          <w:highlight w:val="yellow"/>
          <w:lang w:val="uk-UA"/>
        </w:rPr>
      </w:pPr>
      <w:r>
        <w:rPr>
          <w:b/>
          <w:bCs/>
          <w:sz w:val="28"/>
          <w:szCs w:val="28"/>
          <w:highlight w:val="yellow"/>
          <w:lang w:val="uk-UA"/>
        </w:rPr>
      </w:r>
    </w:p>
    <w:p>
      <w:pPr>
        <w:pStyle w:val="Normal"/>
        <w:jc w:val="center"/>
        <w:rPr>
          <w:b/>
          <w:b/>
          <w:bCs/>
          <w:sz w:val="28"/>
          <w:szCs w:val="28"/>
          <w:lang w:val="uk-UA"/>
        </w:rPr>
      </w:pPr>
      <w:r>
        <w:rPr>
          <w:b/>
          <w:bCs/>
          <w:sz w:val="28"/>
          <w:szCs w:val="28"/>
          <w:lang w:val="uk-UA"/>
        </w:rPr>
        <w:t>Порядок здійснення розрахунків розміру плати за користування місцем розташування тимчасових споруд на території Покровської міської ради</w:t>
      </w:r>
    </w:p>
    <w:p>
      <w:pPr>
        <w:pStyle w:val="Rvps7"/>
        <w:shd w:val="clear" w:color="auto" w:fill="FFFFFF"/>
        <w:spacing w:beforeAutospacing="0" w:before="150" w:afterAutospacing="0" w:after="150"/>
        <w:ind w:left="450" w:right="450" w:hanging="0"/>
        <w:jc w:val="center"/>
        <w:rPr>
          <w:color w:val="000000"/>
          <w:lang w:val="uk-UA"/>
        </w:rPr>
      </w:pPr>
      <w:r>
        <w:rPr>
          <w:rStyle w:val="Rvts15"/>
          <w:b/>
          <w:bCs/>
          <w:color w:val="000000"/>
          <w:sz w:val="28"/>
          <w:szCs w:val="28"/>
          <w:lang w:val="uk-UA"/>
        </w:rPr>
        <w:t>І. Загальні положення</w:t>
      </w:r>
    </w:p>
    <w:p>
      <w:pPr>
        <w:pStyle w:val="Rvps2"/>
        <w:shd w:val="clear" w:color="auto" w:fill="FFFFFF"/>
        <w:spacing w:beforeAutospacing="0" w:before="0" w:afterAutospacing="0" w:after="150"/>
        <w:ind w:firstLine="450"/>
        <w:jc w:val="both"/>
        <w:rPr>
          <w:color w:val="000000"/>
          <w:sz w:val="28"/>
          <w:szCs w:val="28"/>
          <w:lang w:val="uk-UA"/>
        </w:rPr>
      </w:pPr>
      <w:bookmarkStart w:id="1" w:name="n15"/>
      <w:bookmarkEnd w:id="1"/>
      <w:r>
        <w:rPr>
          <w:color w:val="000000"/>
          <w:sz w:val="28"/>
          <w:szCs w:val="28"/>
          <w:lang w:val="uk-UA"/>
        </w:rPr>
        <w:t xml:space="preserve">1. Цей Порядок визначає процедуру </w:t>
      </w:r>
      <w:bookmarkStart w:id="2" w:name="n16"/>
      <w:bookmarkEnd w:id="2"/>
      <w:r>
        <w:rPr>
          <w:color w:val="000000"/>
          <w:sz w:val="28"/>
          <w:szCs w:val="28"/>
          <w:lang w:val="uk-UA"/>
        </w:rPr>
        <w:t>здійснення розрахунків розміру плати</w:t>
      </w:r>
      <w:r>
        <w:rPr>
          <w:sz w:val="28"/>
          <w:szCs w:val="28"/>
          <w:lang w:val="uk-UA"/>
        </w:rPr>
        <w:t xml:space="preserve"> за користування місцем розташування тимчасових споруд на території Покровської міської ради на підставі проведеної та затвердженої нормативно грошової оцінки земель  м. Покров. </w:t>
      </w:r>
      <w:r>
        <w:rPr>
          <w:color w:val="000000"/>
          <w:sz w:val="28"/>
          <w:szCs w:val="28"/>
          <w:lang w:val="uk-UA"/>
        </w:rPr>
        <w:t xml:space="preserve"> </w:t>
      </w:r>
    </w:p>
    <w:p>
      <w:pPr>
        <w:pStyle w:val="Rvps2"/>
        <w:shd w:val="clear" w:color="auto" w:fill="FFFFFF"/>
        <w:spacing w:beforeAutospacing="0" w:before="0" w:afterAutospacing="0" w:after="150"/>
        <w:ind w:firstLine="450"/>
        <w:jc w:val="both"/>
        <w:rPr/>
      </w:pPr>
      <w:r>
        <w:rPr>
          <w:sz w:val="28"/>
          <w:szCs w:val="28"/>
          <w:lang w:val="uk-UA"/>
        </w:rPr>
        <w:t>2. Нормативна грошова оцінка земель м.Покров проводилась відповідно до </w:t>
      </w:r>
      <w:hyperlink r:id="rId4">
        <w:r>
          <w:rPr>
            <w:rStyle w:val="Style12"/>
            <w:color w:val="00000A"/>
            <w:sz w:val="28"/>
            <w:szCs w:val="28"/>
            <w:u w:val="none"/>
            <w:lang w:val="uk-UA"/>
          </w:rPr>
          <w:t>Методики нормативної грошової оцінки земель населених пунктів</w:t>
        </w:r>
      </w:hyperlink>
      <w:r>
        <w:rPr>
          <w:sz w:val="28"/>
          <w:szCs w:val="28"/>
          <w:lang w:val="uk-UA"/>
        </w:rPr>
        <w:t>, затвердженої постановою Кабінету Міністрів України від 23 березня 1995 року № 213 (із змінами).</w:t>
      </w:r>
    </w:p>
    <w:p>
      <w:pPr>
        <w:pStyle w:val="Normal"/>
        <w:jc w:val="center"/>
        <w:rPr>
          <w:b/>
          <w:b/>
          <w:bCs/>
          <w:sz w:val="28"/>
          <w:szCs w:val="28"/>
          <w:lang w:val="uk-UA"/>
        </w:rPr>
      </w:pPr>
      <w:r>
        <w:rPr>
          <w:rStyle w:val="Rvts15"/>
          <w:b/>
          <w:bCs/>
          <w:color w:val="000000"/>
          <w:sz w:val="28"/>
          <w:szCs w:val="28"/>
          <w:lang w:val="uk-UA"/>
        </w:rPr>
        <w:t xml:space="preserve">ІІ. Порядок здійснення розрахунків розміру </w:t>
      </w:r>
      <w:r>
        <w:rPr>
          <w:b/>
          <w:bCs/>
          <w:sz w:val="28"/>
          <w:szCs w:val="28"/>
          <w:lang w:val="uk-UA"/>
        </w:rPr>
        <w:t xml:space="preserve">плати </w:t>
      </w:r>
    </w:p>
    <w:p>
      <w:pPr>
        <w:pStyle w:val="Rvps2"/>
        <w:shd w:val="clear" w:color="auto" w:fill="FFFFFF"/>
        <w:spacing w:beforeAutospacing="0" w:before="0" w:afterAutospacing="0" w:after="150"/>
        <w:ind w:firstLine="450"/>
        <w:jc w:val="both"/>
        <w:rPr>
          <w:color w:val="000000"/>
          <w:sz w:val="28"/>
          <w:szCs w:val="28"/>
          <w:lang w:val="uk-UA"/>
        </w:rPr>
      </w:pPr>
      <w:bookmarkStart w:id="3" w:name="n20"/>
      <w:bookmarkEnd w:id="3"/>
      <w:r>
        <w:rPr>
          <w:color w:val="000000"/>
          <w:sz w:val="28"/>
          <w:szCs w:val="28"/>
          <w:lang w:val="uk-UA"/>
        </w:rPr>
        <w:t xml:space="preserve">1. В основі розрахунку лежить нормативно грошова оцінка </w:t>
      </w:r>
      <w:r>
        <w:rPr>
          <w:color w:val="000000"/>
          <w:sz w:val="28"/>
          <w:szCs w:val="28"/>
        </w:rPr>
        <w:t xml:space="preserve">одного квадратного метра </w:t>
      </w:r>
      <w:r>
        <w:rPr>
          <w:color w:val="000000"/>
          <w:sz w:val="28"/>
          <w:szCs w:val="28"/>
          <w:lang w:val="uk-UA"/>
        </w:rPr>
        <w:t>земельної ділянки</w:t>
      </w:r>
      <w:r>
        <w:rPr>
          <w:color w:val="000000"/>
          <w:sz w:val="28"/>
          <w:szCs w:val="28"/>
        </w:rPr>
        <w:t xml:space="preserve">, </w:t>
      </w:r>
      <w:r>
        <w:rPr>
          <w:color w:val="000000"/>
          <w:sz w:val="28"/>
          <w:szCs w:val="28"/>
          <w:lang w:val="uk-UA"/>
        </w:rPr>
        <w:t xml:space="preserve">а саме вона складається з: </w:t>
      </w:r>
    </w:p>
    <w:p>
      <w:pPr>
        <w:pStyle w:val="Rvps2"/>
        <w:shd w:val="clear" w:color="auto" w:fill="FFFFFF"/>
        <w:spacing w:beforeAutospacing="0" w:before="0" w:afterAutospacing="0" w:after="150"/>
        <w:ind w:firstLine="450"/>
        <w:jc w:val="both"/>
        <w:rPr>
          <w:color w:val="000000"/>
          <w:sz w:val="28"/>
          <w:szCs w:val="28"/>
          <w:lang w:val="uk-UA"/>
        </w:rPr>
      </w:pPr>
      <w:r>
        <w:rPr>
          <w:b/>
          <w:bCs/>
          <w:color w:val="000000"/>
          <w:lang w:val="uk-UA"/>
        </w:rPr>
        <w:t xml:space="preserve">* </w:t>
      </w:r>
      <w:r>
        <w:rPr>
          <w:b/>
          <w:bCs/>
          <w:color w:val="000000"/>
          <w:sz w:val="28"/>
          <w:szCs w:val="28"/>
          <w:lang w:val="uk-UA"/>
        </w:rPr>
        <w:t>Ц</w:t>
      </w:r>
      <w:r>
        <w:rPr>
          <w:b/>
          <w:bCs/>
          <w:color w:val="000000"/>
          <w:sz w:val="28"/>
          <w:szCs w:val="28"/>
          <w:vertAlign w:val="subscript"/>
          <w:lang w:val="uk-UA"/>
        </w:rPr>
        <w:t>НМ</w:t>
      </w:r>
      <w:r>
        <w:rPr>
          <w:color w:val="000000"/>
          <w:sz w:val="16"/>
          <w:szCs w:val="16"/>
          <w:lang w:val="uk-UA"/>
        </w:rPr>
        <w:t xml:space="preserve"> – </w:t>
      </w:r>
      <w:r>
        <w:rPr>
          <w:color w:val="000000"/>
          <w:sz w:val="28"/>
          <w:szCs w:val="28"/>
          <w:lang w:val="uk-UA"/>
        </w:rPr>
        <w:t>базова вартість 1 м</w:t>
      </w:r>
      <w:r>
        <w:rPr>
          <w:color w:val="000000"/>
          <w:sz w:val="28"/>
          <w:szCs w:val="28"/>
          <w:vertAlign w:val="superscript"/>
          <w:lang w:val="uk-UA"/>
        </w:rPr>
        <w:t xml:space="preserve">2 </w:t>
      </w:r>
      <w:r>
        <w:rPr>
          <w:color w:val="000000"/>
          <w:sz w:val="28"/>
          <w:szCs w:val="28"/>
          <w:lang w:val="uk-UA"/>
        </w:rPr>
        <w:t>земель міста Покров, яка станом на                     01.01.2014 рік становить 121,65 грн/м</w:t>
      </w:r>
      <w:r>
        <w:rPr>
          <w:color w:val="000000"/>
          <w:sz w:val="28"/>
          <w:szCs w:val="28"/>
          <w:vertAlign w:val="superscript"/>
          <w:lang w:val="uk-UA"/>
        </w:rPr>
        <w:t>2</w:t>
      </w:r>
      <w:r>
        <w:rPr>
          <w:color w:val="000000"/>
          <w:sz w:val="28"/>
          <w:szCs w:val="28"/>
          <w:lang w:val="uk-UA"/>
        </w:rPr>
        <w:t>;</w:t>
      </w:r>
    </w:p>
    <w:p>
      <w:pPr>
        <w:pStyle w:val="Rvps2"/>
        <w:shd w:val="clear" w:color="auto" w:fill="FFFFFF"/>
        <w:spacing w:beforeAutospacing="0" w:before="0" w:afterAutospacing="0" w:after="150"/>
        <w:ind w:firstLine="450"/>
        <w:jc w:val="both"/>
        <w:rPr>
          <w:color w:val="000000"/>
          <w:sz w:val="28"/>
          <w:szCs w:val="28"/>
          <w:lang w:val="uk-UA"/>
        </w:rPr>
      </w:pPr>
      <w:r>
        <w:rPr>
          <w:color w:val="000000"/>
          <w:sz w:val="28"/>
          <w:szCs w:val="28"/>
          <w:lang w:val="uk-UA"/>
        </w:rPr>
        <w:t xml:space="preserve">*  </w:t>
      </w:r>
      <w:r>
        <w:rPr>
          <w:b/>
          <w:bCs/>
          <w:color w:val="000000"/>
          <w:sz w:val="28"/>
          <w:szCs w:val="28"/>
          <w:lang w:val="uk-UA"/>
        </w:rPr>
        <w:t>К</w:t>
      </w:r>
      <w:r>
        <w:rPr>
          <w:b/>
          <w:bCs/>
          <w:color w:val="000000"/>
          <w:sz w:val="28"/>
          <w:szCs w:val="28"/>
          <w:vertAlign w:val="subscript"/>
          <w:lang w:val="uk-UA"/>
        </w:rPr>
        <w:t>М2</w:t>
      </w:r>
      <w:r>
        <w:rPr>
          <w:color w:val="000000"/>
          <w:sz w:val="28"/>
          <w:szCs w:val="28"/>
          <w:vertAlign w:val="subscript"/>
          <w:lang w:val="uk-UA"/>
        </w:rPr>
        <w:t xml:space="preserve">   </w:t>
      </w:r>
      <w:r>
        <w:rPr>
          <w:color w:val="000000"/>
          <w:sz w:val="28"/>
          <w:szCs w:val="28"/>
          <w:lang w:val="uk-UA"/>
        </w:rPr>
        <w:t>- зональний  коефіцієнт в межах економіко – планувальних зон (згідно додатку № 1);</w:t>
      </w:r>
    </w:p>
    <w:p>
      <w:pPr>
        <w:pStyle w:val="Rvps2"/>
        <w:shd w:val="clear" w:color="auto" w:fill="FFFFFF"/>
        <w:spacing w:beforeAutospacing="0" w:before="0" w:afterAutospacing="0" w:after="150"/>
        <w:ind w:firstLine="450"/>
        <w:jc w:val="both"/>
        <w:rPr>
          <w:color w:val="000000"/>
          <w:sz w:val="28"/>
          <w:szCs w:val="28"/>
          <w:highlight w:val="white"/>
          <w:lang w:val="uk-UA"/>
        </w:rPr>
      </w:pPr>
      <w:r>
        <w:rPr>
          <w:color w:val="000000"/>
          <w:sz w:val="28"/>
          <w:szCs w:val="28"/>
          <w:lang w:val="uk-UA"/>
        </w:rPr>
        <w:t xml:space="preserve">*   </w:t>
      </w:r>
      <w:r>
        <w:rPr>
          <w:b/>
          <w:bCs/>
          <w:color w:val="000000"/>
          <w:sz w:val="28"/>
          <w:szCs w:val="28"/>
          <w:lang w:val="uk-UA"/>
        </w:rPr>
        <w:t>К</w:t>
      </w:r>
      <w:r>
        <w:rPr>
          <w:b/>
          <w:bCs/>
          <w:color w:val="000000"/>
          <w:sz w:val="28"/>
          <w:szCs w:val="28"/>
          <w:vertAlign w:val="subscript"/>
          <w:lang w:val="uk-UA"/>
        </w:rPr>
        <w:t>М3</w:t>
      </w:r>
      <w:r>
        <w:rPr>
          <w:color w:val="000000"/>
          <w:sz w:val="28"/>
          <w:szCs w:val="28"/>
          <w:lang w:val="uk-UA"/>
        </w:rPr>
        <w:t xml:space="preserve"> – </w:t>
      </w:r>
      <w:r>
        <w:rPr>
          <w:color w:val="000000"/>
          <w:sz w:val="28"/>
          <w:szCs w:val="28"/>
          <w:shd w:fill="FFFFFF" w:val="clear"/>
          <w:lang w:val="uk-UA"/>
        </w:rPr>
        <w:t>локальний фактор, який становить 1,50.</w:t>
      </w:r>
    </w:p>
    <w:p>
      <w:pPr>
        <w:pStyle w:val="Rvps2"/>
        <w:shd w:val="clear" w:color="auto" w:fill="FFFFFF"/>
        <w:spacing w:beforeAutospacing="0" w:before="0" w:afterAutospacing="0" w:after="150"/>
        <w:ind w:firstLine="450"/>
        <w:jc w:val="both"/>
        <w:rPr>
          <w:color w:val="000000"/>
          <w:highlight w:val="white"/>
        </w:rPr>
      </w:pPr>
      <w:r>
        <w:rPr>
          <w:color w:val="000000"/>
          <w:shd w:fill="FFFFFF" w:val="clear"/>
          <w:lang w:val="uk-UA"/>
        </w:rPr>
        <w:t xml:space="preserve">* </w:t>
      </w:r>
      <w:r>
        <w:rPr>
          <w:b/>
          <w:bCs/>
          <w:color w:val="000000"/>
          <w:sz w:val="28"/>
          <w:szCs w:val="28"/>
          <w:shd w:fill="FFFFFF" w:val="clear"/>
          <w:lang w:val="uk-UA"/>
        </w:rPr>
        <w:t>К</w:t>
      </w:r>
      <w:r>
        <w:rPr>
          <w:b/>
          <w:bCs/>
          <w:color w:val="000000"/>
          <w:sz w:val="28"/>
          <w:szCs w:val="28"/>
          <w:shd w:fill="FFFFFF" w:val="clear"/>
          <w:vertAlign w:val="subscript"/>
          <w:lang w:val="uk-UA"/>
        </w:rPr>
        <w:t>Ф</w:t>
      </w:r>
      <w:r>
        <w:rPr>
          <w:color w:val="000000"/>
          <w:sz w:val="28"/>
          <w:szCs w:val="28"/>
          <w:shd w:fill="FFFFFF" w:val="clear"/>
          <w:lang w:val="uk-UA"/>
        </w:rPr>
        <w:t xml:space="preserve"> – коефіцієнт функціонального призначення </w:t>
      </w:r>
      <w:r>
        <w:rPr>
          <w:rStyle w:val="Rvts82"/>
          <w:color w:val="000000"/>
          <w:sz w:val="28"/>
          <w:szCs w:val="28"/>
          <w:shd w:fill="FFFFFF" w:val="clear"/>
          <w:lang w:val="uk-UA"/>
        </w:rPr>
        <w:t>застосовується із значенням 2,0.</w:t>
      </w:r>
      <w:r>
        <w:rPr>
          <w:color w:val="000000"/>
          <w:shd w:fill="FFFFFF" w:val="clear"/>
        </w:rPr>
        <w:t> </w:t>
      </w:r>
    </w:p>
    <w:p>
      <w:pPr>
        <w:pStyle w:val="Rvps2"/>
        <w:shd w:val="clear" w:color="auto" w:fill="FFFFFF"/>
        <w:spacing w:beforeAutospacing="0" w:before="0" w:afterAutospacing="0" w:after="150"/>
        <w:ind w:firstLine="450"/>
        <w:jc w:val="both"/>
        <w:rPr>
          <w:color w:val="000000"/>
          <w:sz w:val="28"/>
          <w:szCs w:val="28"/>
          <w:lang w:val="uk-UA"/>
        </w:rPr>
      </w:pPr>
      <w:r>
        <w:rPr>
          <w:color w:val="000000"/>
          <w:shd w:fill="FFFFFF" w:val="clear"/>
          <w:lang w:val="uk-UA"/>
        </w:rPr>
        <w:t xml:space="preserve"> </w:t>
      </w:r>
      <w:r>
        <w:rPr>
          <w:b/>
          <w:bCs/>
          <w:color w:val="000000"/>
          <w:sz w:val="28"/>
          <w:szCs w:val="28"/>
          <w:shd w:fill="FFFFFF" w:val="clear"/>
          <w:lang w:val="uk-UA"/>
        </w:rPr>
        <w:t xml:space="preserve">Ц </w:t>
      </w:r>
      <w:r>
        <w:rPr>
          <w:b/>
          <w:bCs/>
          <w:color w:val="000000"/>
          <w:sz w:val="28"/>
          <w:szCs w:val="28"/>
          <w:shd w:fill="FFFFFF" w:val="clear"/>
          <w:vertAlign w:val="subscript"/>
          <w:lang w:val="uk-UA"/>
        </w:rPr>
        <w:t>н</w:t>
      </w:r>
      <w:r>
        <w:rPr>
          <w:color w:val="000000"/>
          <w:shd w:fill="FFFFFF" w:val="clear"/>
          <w:vertAlign w:val="subscript"/>
          <w:lang w:val="uk-UA"/>
        </w:rPr>
        <w:t xml:space="preserve"> </w:t>
      </w:r>
      <w:r>
        <w:rPr>
          <w:color w:val="000000"/>
          <w:sz w:val="28"/>
          <w:szCs w:val="28"/>
          <w:vertAlign w:val="subscript"/>
          <w:lang w:val="uk-UA"/>
        </w:rPr>
        <w:t xml:space="preserve">= </w:t>
      </w:r>
      <w:r>
        <w:rPr>
          <w:b/>
          <w:bCs/>
          <w:color w:val="000000"/>
          <w:sz w:val="28"/>
          <w:szCs w:val="28"/>
          <w:lang w:val="uk-UA"/>
        </w:rPr>
        <w:t>Ц</w:t>
      </w:r>
      <w:r>
        <w:rPr>
          <w:b/>
          <w:bCs/>
          <w:color w:val="000000"/>
          <w:sz w:val="28"/>
          <w:szCs w:val="28"/>
          <w:vertAlign w:val="subscript"/>
          <w:lang w:val="uk-UA"/>
        </w:rPr>
        <w:t>НМ *</w:t>
      </w:r>
      <w:r>
        <w:rPr>
          <w:b/>
          <w:bCs/>
          <w:color w:val="000000"/>
          <w:sz w:val="28"/>
          <w:szCs w:val="28"/>
          <w:lang w:val="uk-UA"/>
        </w:rPr>
        <w:t xml:space="preserve"> К</w:t>
      </w:r>
      <w:r>
        <w:rPr>
          <w:b/>
          <w:bCs/>
          <w:color w:val="000000"/>
          <w:sz w:val="28"/>
          <w:szCs w:val="28"/>
          <w:vertAlign w:val="subscript"/>
          <w:lang w:val="uk-UA"/>
        </w:rPr>
        <w:t>М2*</w:t>
      </w:r>
      <w:r>
        <w:rPr>
          <w:b/>
          <w:bCs/>
          <w:color w:val="000000"/>
          <w:sz w:val="28"/>
          <w:szCs w:val="28"/>
          <w:lang w:val="uk-UA"/>
        </w:rPr>
        <w:t xml:space="preserve"> К</w:t>
      </w:r>
      <w:r>
        <w:rPr>
          <w:b/>
          <w:bCs/>
          <w:color w:val="000000"/>
          <w:sz w:val="28"/>
          <w:szCs w:val="28"/>
          <w:vertAlign w:val="subscript"/>
          <w:lang w:val="uk-UA"/>
        </w:rPr>
        <w:t>М3 *</w:t>
      </w:r>
      <w:r>
        <w:rPr>
          <w:b/>
          <w:bCs/>
          <w:color w:val="000000"/>
          <w:sz w:val="28"/>
          <w:szCs w:val="28"/>
          <w:shd w:fill="FFFFFF" w:val="clear"/>
          <w:lang w:val="uk-UA"/>
        </w:rPr>
        <w:t xml:space="preserve"> К</w:t>
      </w:r>
      <w:r>
        <w:rPr>
          <w:b/>
          <w:bCs/>
          <w:color w:val="000000"/>
          <w:sz w:val="28"/>
          <w:szCs w:val="28"/>
          <w:shd w:fill="FFFFFF" w:val="clear"/>
          <w:vertAlign w:val="subscript"/>
          <w:lang w:val="uk-UA"/>
        </w:rPr>
        <w:t>Ф</w:t>
      </w:r>
    </w:p>
    <w:p>
      <w:pPr>
        <w:pStyle w:val="Normal"/>
        <w:ind w:right="57" w:hanging="0"/>
        <w:jc w:val="both"/>
        <w:rPr/>
      </w:pPr>
      <w:r>
        <w:rPr>
          <w:color w:val="000000"/>
          <w:sz w:val="28"/>
          <w:szCs w:val="28"/>
          <w:shd w:fill="FFFFFF" w:val="clear"/>
          <w:lang w:val="uk-UA"/>
        </w:rPr>
        <w:t xml:space="preserve">         </w:t>
      </w:r>
      <w:r>
        <w:rPr>
          <w:color w:val="000000"/>
          <w:sz w:val="28"/>
          <w:szCs w:val="28"/>
          <w:shd w:fill="FFFFFF" w:val="clear"/>
          <w:lang w:val="uk-UA"/>
        </w:rPr>
        <w:t>Індексація нормативної грошової оцінки земельних ділянок здійснюється відповідно до </w:t>
      </w:r>
      <w:hyperlink r:id="rId5">
        <w:r>
          <w:rPr>
            <w:rStyle w:val="Style12"/>
            <w:color w:val="000099"/>
            <w:sz w:val="28"/>
            <w:szCs w:val="28"/>
            <w:highlight w:val="white"/>
            <w:lang w:val="uk-UA"/>
          </w:rPr>
          <w:t>статті 289</w:t>
        </w:r>
      </w:hyperlink>
      <w:r>
        <w:rPr>
          <w:color w:val="000000"/>
          <w:sz w:val="28"/>
          <w:szCs w:val="28"/>
          <w:shd w:fill="FFFFFF" w:val="clear"/>
          <w:lang w:val="uk-UA"/>
        </w:rPr>
        <w:t> Податкового кодексу України.</w:t>
      </w:r>
    </w:p>
    <w:p>
      <w:pPr>
        <w:pStyle w:val="Normal"/>
        <w:tabs>
          <w:tab w:val="left" w:pos="3930" w:leader="none"/>
        </w:tabs>
        <w:jc w:val="both"/>
        <w:rPr>
          <w:sz w:val="28"/>
          <w:szCs w:val="28"/>
          <w:lang w:val="uk-UA"/>
        </w:rPr>
      </w:pPr>
      <w:r>
        <w:rPr>
          <w:sz w:val="28"/>
          <w:szCs w:val="28"/>
          <w:lang w:val="uk-UA"/>
        </w:rPr>
        <w:t xml:space="preserve">            </w:t>
      </w:r>
      <w:r>
        <w:rPr>
          <w:sz w:val="28"/>
          <w:szCs w:val="28"/>
          <w:lang w:val="uk-UA"/>
        </w:rPr>
        <w:t>1.1 Розрахунок розміру плати за користування місцем розташування тимчасових споруд здійснюється на підставі п.1 додатку до рішення 38 сесія  6 скликання від 10.04.2014 року № 17 « Про затвердження ставок орендної плати за  користування  земельними  ділянками  на території  Покровської  міської ради (зі змінами)</w:t>
      </w:r>
    </w:p>
    <w:p>
      <w:pPr>
        <w:pStyle w:val="Rvps7"/>
        <w:shd w:val="clear" w:color="auto" w:fill="FFFFFF"/>
        <w:spacing w:beforeAutospacing="0" w:before="150" w:afterAutospacing="0" w:after="150"/>
        <w:ind w:left="450" w:right="450" w:hanging="0"/>
        <w:jc w:val="center"/>
        <w:rPr>
          <w:color w:val="000000"/>
          <w:lang w:val="uk-UA"/>
        </w:rPr>
      </w:pPr>
      <w:r>
        <w:rPr>
          <w:rStyle w:val="Rvts15"/>
          <w:b/>
          <w:bCs/>
          <w:color w:val="000000"/>
          <w:sz w:val="28"/>
          <w:szCs w:val="28"/>
          <w:lang w:val="uk-UA"/>
        </w:rPr>
        <w:t xml:space="preserve">ІІІ. Документація підрахунку розміру плати </w:t>
      </w:r>
    </w:p>
    <w:p>
      <w:pPr>
        <w:pStyle w:val="Rvps2"/>
        <w:shd w:val="clear" w:color="auto" w:fill="FFFFFF"/>
        <w:spacing w:beforeAutospacing="0" w:before="0" w:afterAutospacing="0" w:after="150"/>
        <w:ind w:firstLine="450"/>
        <w:jc w:val="both"/>
        <w:rPr>
          <w:color w:val="000000"/>
          <w:sz w:val="28"/>
          <w:szCs w:val="28"/>
          <w:lang w:val="uk-UA"/>
        </w:rPr>
      </w:pPr>
      <w:bookmarkStart w:id="4" w:name="n68"/>
      <w:bookmarkEnd w:id="4"/>
      <w:r>
        <w:rPr>
          <w:color w:val="000000"/>
          <w:sz w:val="28"/>
          <w:szCs w:val="28"/>
          <w:lang w:val="uk-UA"/>
        </w:rPr>
        <w:t xml:space="preserve">1. За результатами здійснення розрахунків по кожному місцю розташування тимчасової споруди відділом землекористування формується довідка (в основі якої лежить нормативно  грошова оцінка одного квадратного метра земельної ділянки) (додаток №2) та розрахунок </w:t>
      </w:r>
      <w:r>
        <w:rPr>
          <w:rStyle w:val="Rvts15"/>
          <w:color w:val="000000"/>
          <w:sz w:val="28"/>
          <w:szCs w:val="28"/>
          <w:lang w:val="uk-UA"/>
        </w:rPr>
        <w:t xml:space="preserve">розміру плати </w:t>
      </w:r>
      <w:r>
        <w:rPr>
          <w:sz w:val="28"/>
          <w:szCs w:val="28"/>
          <w:lang w:val="uk-UA"/>
        </w:rPr>
        <w:t xml:space="preserve">за користування місцем розташування тимчасової споруди </w:t>
      </w:r>
      <w:bookmarkStart w:id="5" w:name="_GoBack"/>
      <w:bookmarkEnd w:id="5"/>
      <w:r>
        <w:rPr>
          <w:color w:val="000000"/>
          <w:sz w:val="28"/>
          <w:szCs w:val="28"/>
          <w:lang w:val="uk-UA"/>
        </w:rPr>
        <w:t>.</w:t>
      </w:r>
    </w:p>
    <w:p>
      <w:pPr>
        <w:pStyle w:val="Rvps2"/>
        <w:shd w:val="clear" w:color="auto" w:fill="FFFFFF"/>
        <w:spacing w:beforeAutospacing="0" w:before="0" w:afterAutospacing="0" w:after="150"/>
        <w:ind w:firstLine="450"/>
        <w:jc w:val="both"/>
        <w:rPr>
          <w:color w:val="000000"/>
          <w:sz w:val="28"/>
          <w:szCs w:val="28"/>
          <w:lang w:val="uk-UA"/>
        </w:rPr>
      </w:pPr>
      <w:r>
        <w:rPr>
          <w:sz w:val="28"/>
          <w:szCs w:val="28"/>
          <w:lang w:val="uk-UA"/>
        </w:rPr>
        <w:t>Начальник відділу землекористування                                        Г.А.Цупрова</w:t>
      </w:r>
    </w:p>
    <w:p>
      <w:pPr>
        <w:pStyle w:val="Normal"/>
        <w:jc w:val="both"/>
        <w:rPr>
          <w:rFonts w:ascii="Calibri" w:hAnsi="Calibri" w:cs="Calibri"/>
          <w:sz w:val="28"/>
          <w:szCs w:val="28"/>
          <w:lang w:val="uk-UA"/>
        </w:rPr>
      </w:pPr>
      <w:r>
        <w:rPr>
          <w:rFonts w:cs="Calibri" w:ascii="Calibri" w:hAnsi="Calibri"/>
          <w:sz w:val="28"/>
          <w:szCs w:val="28"/>
          <w:lang w:val="uk-UA"/>
        </w:rPr>
      </w:r>
    </w:p>
    <w:p>
      <w:pPr>
        <w:pStyle w:val="Normal"/>
        <w:jc w:val="both"/>
        <w:rPr>
          <w:rFonts w:ascii="Calibri" w:hAnsi="Calibri" w:cs="Calibri"/>
          <w:sz w:val="28"/>
          <w:szCs w:val="28"/>
          <w:lang w:val="uk-UA"/>
        </w:rPr>
      </w:pPr>
      <w:r>
        <w:rPr>
          <w:rFonts w:cs="Calibri" w:ascii="Calibri" w:hAnsi="Calibri"/>
          <w:sz w:val="28"/>
          <w:szCs w:val="28"/>
          <w:lang w:val="uk-UA"/>
        </w:rPr>
      </w:r>
    </w:p>
    <w:p>
      <w:pPr>
        <w:pStyle w:val="Normal"/>
        <w:ind w:left="4956" w:hanging="0"/>
        <w:rPr/>
      </w:pPr>
      <w:r>
        <w:rPr>
          <w:sz w:val="22"/>
          <w:szCs w:val="22"/>
          <w:lang w:val="uk-UA"/>
        </w:rPr>
        <w:t>Додаток 1</w:t>
        <w:br/>
        <w:t xml:space="preserve">                                                                                                         до рішення виконавчого комітету Покровської міської ради</w:t>
        <w:br/>
        <w:t xml:space="preserve">                                                                                                              від _</w:t>
      </w:r>
      <w:r>
        <w:rPr>
          <w:sz w:val="22"/>
          <w:szCs w:val="22"/>
          <w:lang w:val="uk-UA"/>
        </w:rPr>
        <w:t>28.02.</w:t>
      </w:r>
      <w:r>
        <w:rPr>
          <w:sz w:val="22"/>
          <w:szCs w:val="22"/>
          <w:lang w:val="uk-UA"/>
        </w:rPr>
        <w:t xml:space="preserve"> 2018 р. </w:t>
      </w:r>
      <w:r>
        <w:rPr>
          <w:sz w:val="22"/>
          <w:szCs w:val="22"/>
          <w:lang w:val="uk-UA"/>
        </w:rPr>
        <w:t>№67</w:t>
      </w:r>
    </w:p>
    <w:p>
      <w:pPr>
        <w:pStyle w:val="Normal"/>
        <w:ind w:left="4956" w:hanging="0"/>
        <w:rPr>
          <w:sz w:val="22"/>
          <w:szCs w:val="22"/>
          <w:lang w:val="uk-UA"/>
        </w:rPr>
      </w:pPr>
      <w:r>
        <w:rPr>
          <w:sz w:val="22"/>
          <w:szCs w:val="22"/>
          <w:lang w:val="uk-UA"/>
        </w:rPr>
      </w:r>
    </w:p>
    <w:p>
      <w:pPr>
        <w:pStyle w:val="Normal"/>
        <w:jc w:val="center"/>
        <w:rPr>
          <w:b/>
          <w:b/>
          <w:bCs/>
          <w:sz w:val="28"/>
          <w:szCs w:val="28"/>
          <w:lang w:val="uk-UA"/>
        </w:rPr>
      </w:pPr>
      <w:r>
        <w:rPr>
          <w:b/>
          <w:bCs/>
          <w:sz w:val="28"/>
          <w:szCs w:val="28"/>
          <w:lang w:val="uk-UA"/>
        </w:rPr>
        <w:t xml:space="preserve">Зональний коефіцієнт </w:t>
      </w:r>
      <w:r>
        <w:rPr>
          <w:b/>
          <w:bCs/>
          <w:color w:val="000000"/>
          <w:sz w:val="28"/>
          <w:szCs w:val="28"/>
          <w:lang w:val="uk-UA"/>
        </w:rPr>
        <w:t>К</w:t>
      </w:r>
      <w:r>
        <w:rPr>
          <w:b/>
          <w:bCs/>
          <w:color w:val="000000"/>
          <w:sz w:val="28"/>
          <w:szCs w:val="28"/>
          <w:vertAlign w:val="subscript"/>
          <w:lang w:val="uk-UA"/>
        </w:rPr>
        <w:t>М2</w:t>
      </w:r>
      <w:r>
        <w:rPr>
          <w:b/>
          <w:bCs/>
          <w:sz w:val="28"/>
          <w:szCs w:val="28"/>
          <w:lang w:val="uk-UA"/>
        </w:rPr>
        <w:t xml:space="preserve"> в межах економіко – планувальних зон</w:t>
      </w:r>
    </w:p>
    <w:p>
      <w:pPr>
        <w:pStyle w:val="Normal"/>
        <w:jc w:val="center"/>
        <w:rPr>
          <w:b/>
          <w:b/>
          <w:bCs/>
          <w:sz w:val="12"/>
          <w:szCs w:val="12"/>
          <w:lang w:val="uk-UA"/>
        </w:rPr>
      </w:pPr>
      <w:r>
        <w:rPr>
          <w:b/>
          <w:bCs/>
          <w:sz w:val="12"/>
          <w:szCs w:val="12"/>
          <w:lang w:val="uk-UA"/>
        </w:rPr>
      </w:r>
    </w:p>
    <w:tbl>
      <w:tblPr>
        <w:tblW w:w="9714" w:type="dxa"/>
        <w:jc w:val="left"/>
        <w:tblInd w:w="-10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top w:w="0" w:type="dxa"/>
          <w:left w:w="103" w:type="dxa"/>
          <w:bottom w:w="0" w:type="dxa"/>
          <w:right w:w="108" w:type="dxa"/>
        </w:tblCellMar>
        <w:tblLook w:val="0000"/>
      </w:tblPr>
      <w:tblGrid>
        <w:gridCol w:w="3362"/>
        <w:gridCol w:w="3372"/>
        <w:gridCol w:w="2980"/>
      </w:tblGrid>
      <w:tr>
        <w:trPr>
          <w:trHeight w:val="540"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Економіко – планувальні зони</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Землеоціночні райони</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color w:val="000000"/>
                <w:sz w:val="28"/>
                <w:szCs w:val="28"/>
                <w:lang w:val="uk-UA"/>
              </w:rPr>
              <w:t>К</w:t>
            </w:r>
            <w:r>
              <w:rPr>
                <w:b/>
                <w:bCs/>
                <w:color w:val="000000"/>
                <w:sz w:val="28"/>
                <w:szCs w:val="28"/>
                <w:vertAlign w:val="subscript"/>
                <w:lang w:val="uk-UA"/>
              </w:rPr>
              <w:t>М2</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1</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1,88</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2</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2</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1,80</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3</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3</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1,86</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4</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4</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1,74</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5</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5</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1,91</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6</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6</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1,89</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7</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7</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1,87</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8</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8</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1,81</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9</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9</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1,75</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10</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10</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1,66</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11</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11</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1,71</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12</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12</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1,66</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13</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13</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1,81</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14</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14</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1,67</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15</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15</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1,61</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16</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16</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1,56</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17</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17</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1,56</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18</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18</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1,37</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19</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19</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1,73</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20</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20</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1,99</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21</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21</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1,80</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22</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22</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1,79</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23</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23</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1,17</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24</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24</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0,91</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25</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25</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1,03</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26</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26</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1,07</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27</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27</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0,91</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28</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28</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1,24</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29</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29</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1,29</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30</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30</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1,73</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31</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31</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1,75</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32</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32</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1,56</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33</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33</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1,26</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34</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34</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0,93</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35</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35</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0,89</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36</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36</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1,31</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37</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37</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1,05</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38</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38</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1,10</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39</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39</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1,35</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40</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40</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1,43</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41</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41</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0,94</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42</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42</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1,02</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43</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43</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1,11</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44</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44</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1,27</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45</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45</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1,29</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46</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46</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1,29</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47</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47</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1,18</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48</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48</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1,05</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49</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49</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1,14</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50</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50</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1,06</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51</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51</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1,19</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52</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52</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1,13</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53</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53</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1,05</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54</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54</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1,00</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55</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55</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0,96</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56</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56</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0,97</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57</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57</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0,93</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58</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58</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0,91</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59</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59</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0,90</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60</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60</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0,84</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61</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61</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0,80</w:t>
            </w:r>
          </w:p>
        </w:tc>
      </w:tr>
      <w:tr>
        <w:trPr>
          <w:trHeight w:val="423" w:hRule="atLeast"/>
        </w:trPr>
        <w:tc>
          <w:tcPr>
            <w:tcW w:w="336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62</w:t>
            </w:r>
          </w:p>
        </w:tc>
        <w:tc>
          <w:tcPr>
            <w:tcW w:w="3372"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sz w:val="28"/>
                <w:szCs w:val="28"/>
                <w:lang w:val="uk-UA"/>
              </w:rPr>
            </w:pPr>
            <w:r>
              <w:rPr>
                <w:sz w:val="28"/>
                <w:szCs w:val="28"/>
                <w:lang w:val="uk-UA"/>
              </w:rPr>
              <w:t>62</w:t>
            </w:r>
          </w:p>
        </w:tc>
        <w:tc>
          <w:tcPr>
            <w:tcW w:w="2980" w:type="dxa"/>
            <w:tcBorders>
              <w:top w:val="single" w:sz="4" w:space="0" w:color="00000A"/>
              <w:left w:val="single" w:sz="4" w:space="0" w:color="00000A"/>
              <w:bottom w:val="single" w:sz="4" w:space="0" w:color="00000A"/>
              <w:right w:val="single" w:sz="4" w:space="0" w:color="00000A"/>
              <w:insideH w:val="single" w:sz="4" w:space="0" w:color="00000A"/>
              <w:insideV w:val="single" w:sz="4" w:space="0" w:color="00000A"/>
            </w:tcBorders>
            <w:shd w:fill="auto" w:val="clear"/>
            <w:tcMar>
              <w:left w:w="103" w:type="dxa"/>
            </w:tcMar>
            <w:vAlign w:val="center"/>
          </w:tcPr>
          <w:p>
            <w:pPr>
              <w:pStyle w:val="Normal"/>
              <w:jc w:val="center"/>
              <w:rPr>
                <w:b/>
                <w:b/>
                <w:bCs/>
                <w:sz w:val="28"/>
                <w:szCs w:val="28"/>
                <w:lang w:val="uk-UA"/>
              </w:rPr>
            </w:pPr>
            <w:r>
              <w:rPr>
                <w:b/>
                <w:bCs/>
                <w:sz w:val="28"/>
                <w:szCs w:val="28"/>
                <w:lang w:val="uk-UA"/>
              </w:rPr>
              <w:t>1,03</w:t>
            </w:r>
          </w:p>
        </w:tc>
      </w:tr>
    </w:tbl>
    <w:p>
      <w:pPr>
        <w:pStyle w:val="Normal"/>
        <w:ind w:left="4956" w:hanging="0"/>
        <w:rPr>
          <w:sz w:val="22"/>
          <w:szCs w:val="22"/>
          <w:lang w:val="uk-UA"/>
        </w:rPr>
      </w:pPr>
      <w:r>
        <w:rPr>
          <w:sz w:val="22"/>
          <w:szCs w:val="22"/>
          <w:lang w:val="uk-UA"/>
        </w:rPr>
      </w:r>
    </w:p>
    <w:p>
      <w:pPr>
        <w:pStyle w:val="Normal"/>
        <w:ind w:left="4956" w:hanging="0"/>
        <w:rPr>
          <w:sz w:val="22"/>
          <w:szCs w:val="22"/>
          <w:lang w:val="uk-UA"/>
        </w:rPr>
      </w:pPr>
      <w:r>
        <w:rPr>
          <w:sz w:val="22"/>
          <w:szCs w:val="22"/>
          <w:lang w:val="uk-UA"/>
        </w:rPr>
      </w:r>
    </w:p>
    <w:p>
      <w:pPr>
        <w:pStyle w:val="Normal"/>
        <w:ind w:left="4956" w:hanging="0"/>
        <w:rPr>
          <w:sz w:val="22"/>
          <w:szCs w:val="22"/>
          <w:lang w:val="uk-UA"/>
        </w:rPr>
      </w:pPr>
      <w:r>
        <w:rPr>
          <w:sz w:val="22"/>
          <w:szCs w:val="22"/>
          <w:lang w:val="uk-UA"/>
        </w:rPr>
      </w:r>
    </w:p>
    <w:p>
      <w:pPr>
        <w:pStyle w:val="Rvps2"/>
        <w:shd w:val="clear" w:color="auto" w:fill="FFFFFF"/>
        <w:spacing w:beforeAutospacing="0" w:before="0" w:afterAutospacing="0" w:after="150"/>
        <w:ind w:firstLine="450"/>
        <w:jc w:val="both"/>
        <w:rPr>
          <w:color w:val="000000"/>
          <w:sz w:val="28"/>
          <w:szCs w:val="28"/>
          <w:lang w:val="uk-UA"/>
        </w:rPr>
      </w:pPr>
      <w:r>
        <w:rPr>
          <w:sz w:val="28"/>
          <w:szCs w:val="28"/>
          <w:lang w:val="uk-UA"/>
        </w:rPr>
        <w:t>Начальник відділу землекористування                                        Г.А.Цупрова</w:t>
      </w:r>
    </w:p>
    <w:p>
      <w:pPr>
        <w:pStyle w:val="Normal"/>
        <w:ind w:left="4956" w:hanging="0"/>
        <w:rPr>
          <w:sz w:val="22"/>
          <w:szCs w:val="22"/>
          <w:lang w:val="uk-UA"/>
        </w:rPr>
      </w:pPr>
      <w:r>
        <w:rPr>
          <w:sz w:val="22"/>
          <w:szCs w:val="22"/>
          <w:lang w:val="uk-UA"/>
        </w:rPr>
      </w:r>
    </w:p>
    <w:p>
      <w:pPr>
        <w:pStyle w:val="Normal"/>
        <w:ind w:left="4956" w:hanging="0"/>
        <w:rPr>
          <w:sz w:val="22"/>
          <w:szCs w:val="22"/>
          <w:lang w:val="uk-UA"/>
        </w:rPr>
      </w:pPr>
      <w:r>
        <w:rPr>
          <w:sz w:val="22"/>
          <w:szCs w:val="22"/>
          <w:lang w:val="uk-UA"/>
        </w:rPr>
      </w:r>
    </w:p>
    <w:p>
      <w:pPr>
        <w:pStyle w:val="Normal"/>
        <w:ind w:left="4956" w:hanging="0"/>
        <w:rPr>
          <w:sz w:val="22"/>
          <w:szCs w:val="22"/>
          <w:lang w:val="uk-UA"/>
        </w:rPr>
      </w:pPr>
      <w:r>
        <w:rPr>
          <w:sz w:val="22"/>
          <w:szCs w:val="22"/>
          <w:lang w:val="uk-UA"/>
        </w:rPr>
      </w:r>
    </w:p>
    <w:p>
      <w:pPr>
        <w:pStyle w:val="Normal"/>
        <w:ind w:left="4956" w:hanging="0"/>
        <w:rPr>
          <w:sz w:val="22"/>
          <w:szCs w:val="22"/>
          <w:lang w:val="uk-UA"/>
        </w:rPr>
      </w:pPr>
      <w:r>
        <w:rPr>
          <w:sz w:val="22"/>
          <w:szCs w:val="22"/>
          <w:lang w:val="uk-UA"/>
        </w:rPr>
      </w:r>
    </w:p>
    <w:p>
      <w:pPr>
        <w:pStyle w:val="Normal"/>
        <w:ind w:left="4956" w:hanging="0"/>
        <w:rPr>
          <w:sz w:val="22"/>
          <w:szCs w:val="22"/>
          <w:lang w:val="uk-UA"/>
        </w:rPr>
      </w:pPr>
      <w:r>
        <w:rPr>
          <w:sz w:val="22"/>
          <w:szCs w:val="22"/>
          <w:lang w:val="uk-UA"/>
        </w:rPr>
      </w:r>
    </w:p>
    <w:p>
      <w:pPr>
        <w:pStyle w:val="Normal"/>
        <w:ind w:left="4956" w:hanging="0"/>
        <w:rPr/>
      </w:pPr>
      <w:r>
        <w:rPr>
          <w:sz w:val="22"/>
          <w:szCs w:val="22"/>
          <w:lang w:val="uk-UA"/>
        </w:rPr>
        <w:t>Додаток 2</w:t>
        <w:br/>
        <w:t xml:space="preserve">                                                                                                         до рішення виконавчого комітету Покровської міської ради</w:t>
        <w:br/>
        <w:t xml:space="preserve">                                                                                                              від </w:t>
      </w:r>
      <w:r>
        <w:rPr>
          <w:sz w:val="22"/>
          <w:szCs w:val="22"/>
          <w:lang w:val="uk-UA"/>
        </w:rPr>
        <w:t>28.02.</w:t>
      </w:r>
      <w:r>
        <w:rPr>
          <w:sz w:val="22"/>
          <w:szCs w:val="22"/>
          <w:lang w:val="uk-UA"/>
        </w:rPr>
        <w:t xml:space="preserve">2018 р. </w:t>
      </w:r>
      <w:r>
        <w:rPr>
          <w:sz w:val="22"/>
          <w:szCs w:val="22"/>
          <w:lang w:val="uk-UA"/>
        </w:rPr>
        <w:t>№67</w:t>
      </w:r>
    </w:p>
    <w:p>
      <w:pPr>
        <w:pStyle w:val="Rvps7"/>
        <w:shd w:val="clear" w:color="auto" w:fill="FFFFFF"/>
        <w:spacing w:beforeAutospacing="0" w:before="150" w:afterAutospacing="0" w:after="150"/>
        <w:ind w:left="450" w:right="450" w:hanging="0"/>
        <w:jc w:val="center"/>
        <w:rPr>
          <w:b/>
          <w:b/>
          <w:bCs/>
          <w:i/>
          <w:i/>
          <w:iCs/>
          <w:color w:val="FF0000"/>
          <w:lang w:val="uk-UA"/>
        </w:rPr>
      </w:pPr>
      <w:r>
        <w:rPr>
          <w:i/>
          <w:iCs/>
          <w:color w:val="000000"/>
          <w:sz w:val="28"/>
          <w:szCs w:val="28"/>
          <w:lang w:val="uk-UA"/>
        </w:rPr>
        <w:t>Довідка (в основі якої лежить нормативно  грошова оцінка одного квадратного метра земельної ділянки)</w:t>
      </w:r>
    </w:p>
    <w:tbl>
      <w:tblPr>
        <w:tblW w:w="5000" w:type="pct"/>
        <w:jc w:val="left"/>
        <w:tblInd w:w="-58" w:type="dxa"/>
        <w:tblBorders>
          <w:top w:val="single" w:sz="6" w:space="0" w:color="000001"/>
          <w:left w:val="single" w:sz="6" w:space="0" w:color="000001"/>
          <w:bottom w:val="single" w:sz="6" w:space="0" w:color="000001"/>
          <w:right w:val="single" w:sz="6" w:space="0" w:color="000001"/>
          <w:insideH w:val="single" w:sz="6" w:space="0" w:color="000001"/>
          <w:insideV w:val="single" w:sz="6" w:space="0" w:color="000001"/>
        </w:tblBorders>
        <w:tblCellMar>
          <w:top w:w="60" w:type="dxa"/>
          <w:left w:w="57" w:type="dxa"/>
          <w:bottom w:w="60" w:type="dxa"/>
          <w:right w:w="60" w:type="dxa"/>
        </w:tblCellMar>
        <w:tblLook w:val="00a0"/>
      </w:tblPr>
      <w:tblGrid>
        <w:gridCol w:w="2291"/>
        <w:gridCol w:w="7206"/>
      </w:tblGrid>
      <w:tr>
        <w:trPr>
          <w:trHeight w:val="360" w:hRule="atLeast"/>
        </w:trPr>
        <w:tc>
          <w:tcPr>
            <w:tcW w:w="949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7" w:type="dxa"/>
            </w:tcMar>
          </w:tcPr>
          <w:p>
            <w:pPr>
              <w:pStyle w:val="Rvps14"/>
              <w:spacing w:beforeAutospacing="0" w:before="150" w:afterAutospacing="0" w:after="150"/>
              <w:rPr/>
            </w:pPr>
            <w:bookmarkStart w:id="6" w:name="n109"/>
            <w:bookmarkEnd w:id="6"/>
            <w:r>
              <w:rPr/>
              <w:t>Місце розташування земельної ділянки:</w:t>
            </w:r>
          </w:p>
        </w:tc>
      </w:tr>
      <w:tr>
        <w:trPr>
          <w:trHeight w:val="255" w:hRule="atLeast"/>
        </w:trPr>
        <w:tc>
          <w:tcPr>
            <w:tcW w:w="949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7" w:type="dxa"/>
            </w:tcMar>
          </w:tcPr>
          <w:p>
            <w:pPr>
              <w:pStyle w:val="Rvps14"/>
              <w:spacing w:beforeAutospacing="0" w:before="150" w:afterAutospacing="0" w:after="150"/>
              <w:rPr>
                <w:lang w:val="ru-RU"/>
              </w:rPr>
            </w:pPr>
            <w:r>
              <w:rPr>
                <w:lang w:val="ru-RU"/>
              </w:rPr>
              <w:t xml:space="preserve">Площа </w:t>
            </w:r>
            <w:r>
              <w:rPr>
                <w:lang w:val="uk-UA"/>
              </w:rPr>
              <w:t xml:space="preserve">місця розташування тимчасової споруди </w:t>
            </w:r>
            <w:r>
              <w:rPr>
                <w:lang w:val="ru-RU"/>
              </w:rPr>
              <w:t>, м</w:t>
            </w:r>
            <w:r>
              <w:rPr>
                <w:rStyle w:val="Rvts37"/>
                <w:b/>
                <w:bCs/>
                <w:color w:val="000000"/>
                <w:sz w:val="2"/>
                <w:szCs w:val="2"/>
                <w:vertAlign w:val="superscript"/>
                <w:lang w:val="ru-RU"/>
              </w:rPr>
              <w:t>-</w:t>
            </w:r>
            <w:r>
              <w:rPr>
                <w:rStyle w:val="Rvts37"/>
                <w:b/>
                <w:bCs/>
                <w:color w:val="000000"/>
                <w:sz w:val="16"/>
                <w:szCs w:val="16"/>
                <w:vertAlign w:val="superscript"/>
                <w:lang w:val="ru-RU"/>
              </w:rPr>
              <w:t>2</w:t>
            </w:r>
            <w:r>
              <w:rPr>
                <w:lang w:val="ru-RU"/>
              </w:rPr>
              <w:t>:</w:t>
            </w:r>
          </w:p>
        </w:tc>
      </w:tr>
      <w:tr>
        <w:trPr>
          <w:trHeight w:val="360" w:hRule="atLeast"/>
        </w:trPr>
        <w:tc>
          <w:tcPr>
            <w:tcW w:w="949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7" w:type="dxa"/>
            </w:tcMar>
          </w:tcPr>
          <w:p>
            <w:pPr>
              <w:pStyle w:val="Rvps14"/>
              <w:spacing w:beforeAutospacing="0" w:before="150" w:afterAutospacing="0" w:after="150"/>
              <w:rPr>
                <w:lang w:val="ru-RU"/>
              </w:rPr>
            </w:pPr>
            <w:r>
              <w:rPr>
                <w:lang w:val="ru-RU"/>
              </w:rPr>
              <w:t>Середня (базова) вартість земель населеного пункту, грн/м</w:t>
            </w:r>
            <w:r>
              <w:rPr>
                <w:rStyle w:val="Rvts37"/>
                <w:b/>
                <w:bCs/>
                <w:color w:val="000000"/>
                <w:sz w:val="2"/>
                <w:szCs w:val="2"/>
                <w:vertAlign w:val="superscript"/>
                <w:lang w:val="ru-RU"/>
              </w:rPr>
              <w:t>-</w:t>
            </w:r>
            <w:r>
              <w:rPr>
                <w:rStyle w:val="Rvts37"/>
                <w:b/>
                <w:bCs/>
                <w:color w:val="000000"/>
                <w:sz w:val="16"/>
                <w:szCs w:val="16"/>
                <w:vertAlign w:val="superscript"/>
                <w:lang w:val="ru-RU"/>
              </w:rPr>
              <w:t>2</w:t>
            </w:r>
            <w:r>
              <w:rPr>
                <w:lang w:val="ru-RU"/>
              </w:rPr>
              <w:t>:</w:t>
            </w:r>
          </w:p>
        </w:tc>
      </w:tr>
      <w:tr>
        <w:trPr>
          <w:trHeight w:val="360" w:hRule="atLeast"/>
        </w:trPr>
        <w:tc>
          <w:tcPr>
            <w:tcW w:w="949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7" w:type="dxa"/>
            </w:tcMar>
          </w:tcPr>
          <w:p>
            <w:pPr>
              <w:pStyle w:val="Rvps14"/>
              <w:spacing w:beforeAutospacing="0" w:before="150" w:afterAutospacing="0" w:after="150"/>
              <w:rPr/>
            </w:pPr>
            <w:r>
              <w:rPr/>
              <w:t>Номер економіко-планувальної зони:</w:t>
            </w:r>
          </w:p>
        </w:tc>
      </w:tr>
      <w:tr>
        <w:trPr>
          <w:trHeight w:val="360" w:hRule="atLeast"/>
        </w:trPr>
        <w:tc>
          <w:tcPr>
            <w:tcW w:w="949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7" w:type="dxa"/>
            </w:tcMar>
          </w:tcPr>
          <w:p>
            <w:pPr>
              <w:pStyle w:val="Rvps14"/>
              <w:spacing w:beforeAutospacing="0" w:before="150" w:afterAutospacing="0" w:after="150"/>
              <w:rPr/>
            </w:pPr>
            <w:r>
              <w:rPr/>
              <w:t>Коефіцієнт Км2:</w:t>
            </w:r>
          </w:p>
        </w:tc>
      </w:tr>
      <w:tr>
        <w:trPr>
          <w:trHeight w:val="360" w:hRule="atLeast"/>
        </w:trPr>
        <w:tc>
          <w:tcPr>
            <w:tcW w:w="949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7" w:type="dxa"/>
            </w:tcMar>
          </w:tcPr>
          <w:p>
            <w:pPr>
              <w:pStyle w:val="Rvps14"/>
              <w:spacing w:beforeAutospacing="0" w:before="150" w:afterAutospacing="0" w:after="150"/>
              <w:rPr/>
            </w:pPr>
            <w:r>
              <w:rPr/>
              <w:t>Сукупний коефіцієнт Км3:</w:t>
            </w:r>
          </w:p>
        </w:tc>
      </w:tr>
      <w:tr>
        <w:trPr>
          <w:trHeight w:val="360" w:hRule="atLeast"/>
        </w:trPr>
        <w:tc>
          <w:tcPr>
            <w:tcW w:w="949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7" w:type="dxa"/>
            </w:tcMar>
          </w:tcPr>
          <w:p>
            <w:pPr>
              <w:pStyle w:val="Rvps14"/>
              <w:spacing w:beforeAutospacing="0" w:before="150" w:afterAutospacing="0" w:after="150"/>
              <w:rPr/>
            </w:pPr>
            <w:r>
              <w:rPr/>
              <w:t>Коефіцієнт Кф:</w:t>
            </w:r>
          </w:p>
        </w:tc>
      </w:tr>
      <w:tr>
        <w:trPr>
          <w:trHeight w:val="360" w:hRule="atLeast"/>
        </w:trPr>
        <w:tc>
          <w:tcPr>
            <w:tcW w:w="949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7" w:type="dxa"/>
            </w:tcMar>
          </w:tcPr>
          <w:p>
            <w:pPr>
              <w:pStyle w:val="Rvps14"/>
              <w:spacing w:beforeAutospacing="0" w:before="150" w:afterAutospacing="0" w:after="150"/>
              <w:rPr>
                <w:lang w:val="ru-RU"/>
              </w:rPr>
            </w:pPr>
            <w:r>
              <w:rPr>
                <w:lang w:val="ru-RU"/>
              </w:rPr>
              <w:t>Коефіцієнт індексації нормативної грошової оцінки:</w:t>
            </w:r>
          </w:p>
        </w:tc>
      </w:tr>
      <w:tr>
        <w:trPr>
          <w:trHeight w:val="360" w:hRule="atLeast"/>
        </w:trPr>
        <w:tc>
          <w:tcPr>
            <w:tcW w:w="949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7" w:type="dxa"/>
            </w:tcMar>
          </w:tcPr>
          <w:p>
            <w:pPr>
              <w:pStyle w:val="Rvps14"/>
              <w:spacing w:beforeAutospacing="0" w:before="150" w:afterAutospacing="0" w:after="150"/>
              <w:rPr>
                <w:lang w:val="ru-RU"/>
              </w:rPr>
            </w:pPr>
            <w:r>
              <w:rPr>
                <w:rStyle w:val="Rvts9"/>
                <w:b/>
                <w:bCs/>
                <w:color w:val="000000"/>
                <w:lang w:val="ru-RU"/>
              </w:rPr>
              <w:t>Нормативна грошова оцінка, грн:</w:t>
            </w:r>
          </w:p>
        </w:tc>
      </w:tr>
      <w:tr>
        <w:trPr>
          <w:trHeight w:val="360" w:hRule="atLeast"/>
        </w:trPr>
        <w:tc>
          <w:tcPr>
            <w:tcW w:w="2291"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7" w:type="dxa"/>
            </w:tcMar>
          </w:tcPr>
          <w:p>
            <w:pPr>
              <w:pStyle w:val="Rvps14"/>
              <w:spacing w:beforeAutospacing="0" w:before="150" w:afterAutospacing="0" w:after="150"/>
              <w:rPr/>
            </w:pPr>
            <w:r>
              <w:rPr>
                <w:lang w:val="uk-UA"/>
              </w:rPr>
              <w:t xml:space="preserve">Довідку </w:t>
            </w:r>
            <w:r>
              <w:rPr/>
              <w:t>сформував:</w:t>
            </w:r>
          </w:p>
        </w:tc>
        <w:tc>
          <w:tcPr>
            <w:tcW w:w="7206" w:type="dxa"/>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7" w:type="dxa"/>
            </w:tcMar>
          </w:tcPr>
          <w:p>
            <w:pPr>
              <w:pStyle w:val="Rvps12"/>
              <w:spacing w:beforeAutospacing="0" w:before="150" w:afterAutospacing="0" w:after="150"/>
              <w:jc w:val="center"/>
              <w:rPr>
                <w:lang w:val="ru-RU"/>
              </w:rPr>
            </w:pPr>
            <w:r>
              <w:rPr>
                <w:lang w:val="ru-RU"/>
              </w:rPr>
              <w:t>_________________________________________________________</w:t>
            </w:r>
            <w:r>
              <w:rPr/>
              <w:t> </w:t>
            </w:r>
            <w:r>
              <w:rPr>
                <w:lang w:val="ru-RU"/>
              </w:rPr>
              <w:br/>
            </w:r>
            <w:r>
              <w:rPr>
                <w:rStyle w:val="Rvts82"/>
                <w:color w:val="000000"/>
                <w:sz w:val="20"/>
                <w:szCs w:val="20"/>
                <w:lang w:val="ru-RU"/>
              </w:rPr>
              <w:t>(посада, прізвище, ім’я, по батькові, підпис)</w:t>
            </w:r>
          </w:p>
        </w:tc>
      </w:tr>
      <w:tr>
        <w:trPr>
          <w:trHeight w:val="255" w:hRule="atLeast"/>
        </w:trPr>
        <w:tc>
          <w:tcPr>
            <w:tcW w:w="949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7" w:type="dxa"/>
            </w:tcMar>
          </w:tcPr>
          <w:p>
            <w:pPr>
              <w:pStyle w:val="Rvps14"/>
              <w:spacing w:beforeAutospacing="0" w:before="150" w:afterAutospacing="0" w:after="150"/>
              <w:rPr>
                <w:lang w:val="ru-RU"/>
              </w:rPr>
            </w:pPr>
            <w:r>
              <w:rPr>
                <w:lang w:val="ru-RU"/>
              </w:rPr>
            </w:r>
          </w:p>
        </w:tc>
      </w:tr>
      <w:tr>
        <w:trPr>
          <w:trHeight w:val="360" w:hRule="atLeast"/>
        </w:trPr>
        <w:tc>
          <w:tcPr>
            <w:tcW w:w="9497" w:type="dxa"/>
            <w:gridSpan w:val="2"/>
            <w:tcBorders>
              <w:top w:val="single" w:sz="6" w:space="0" w:color="000001"/>
              <w:left w:val="single" w:sz="6" w:space="0" w:color="000001"/>
              <w:bottom w:val="single" w:sz="6" w:space="0" w:color="000001"/>
              <w:right w:val="single" w:sz="6" w:space="0" w:color="000001"/>
              <w:insideH w:val="single" w:sz="6" w:space="0" w:color="000001"/>
              <w:insideV w:val="single" w:sz="6" w:space="0" w:color="000001"/>
            </w:tcBorders>
            <w:shd w:fill="auto" w:val="clear"/>
            <w:tcMar>
              <w:left w:w="57" w:type="dxa"/>
            </w:tcMar>
          </w:tcPr>
          <w:p>
            <w:pPr>
              <w:pStyle w:val="Rvps14"/>
              <w:spacing w:beforeAutospacing="0" w:before="150" w:afterAutospacing="0" w:after="150"/>
              <w:rPr/>
            </w:pPr>
            <w:r>
              <w:rPr/>
              <w:t xml:space="preserve">Дата формування </w:t>
            </w:r>
            <w:r>
              <w:rPr>
                <w:lang w:val="uk-UA"/>
              </w:rPr>
              <w:t>довідки</w:t>
            </w:r>
            <w:r>
              <w:rPr/>
              <w:t xml:space="preserve"> : _______________</w:t>
            </w:r>
          </w:p>
        </w:tc>
      </w:tr>
    </w:tbl>
    <w:p>
      <w:pPr>
        <w:pStyle w:val="Normal"/>
        <w:spacing w:beforeAutospacing="1" w:afterAutospacing="1"/>
        <w:ind w:left="4956" w:hanging="0"/>
        <w:rPr>
          <w:rFonts w:ascii="Calibri" w:hAnsi="Calibri" w:cs="Calibri"/>
          <w:lang w:val="uk-UA"/>
        </w:rPr>
      </w:pPr>
      <w:r>
        <w:rPr>
          <w:rFonts w:cs="Calibri" w:ascii="Calibri" w:hAnsi="Calibri"/>
          <w:lang w:val="uk-UA"/>
        </w:rPr>
      </w:r>
    </w:p>
    <w:p>
      <w:pPr>
        <w:pStyle w:val="Rvps2"/>
        <w:shd w:val="clear" w:color="auto" w:fill="FFFFFF"/>
        <w:spacing w:beforeAutospacing="0" w:before="0" w:afterAutospacing="0" w:after="150"/>
        <w:ind w:firstLine="450"/>
        <w:jc w:val="both"/>
        <w:rPr>
          <w:color w:val="000000"/>
          <w:sz w:val="28"/>
          <w:szCs w:val="28"/>
          <w:lang w:val="uk-UA"/>
        </w:rPr>
      </w:pPr>
      <w:r>
        <w:rPr>
          <w:sz w:val="28"/>
          <w:szCs w:val="28"/>
          <w:lang w:val="uk-UA"/>
        </w:rPr>
        <w:t>Начальник відділу землекористування                                        Г.А.Цупрова</w:t>
      </w:r>
    </w:p>
    <w:p>
      <w:pPr>
        <w:pStyle w:val="Normal"/>
        <w:spacing w:beforeAutospacing="1" w:afterAutospacing="1"/>
        <w:ind w:left="4956" w:hanging="0"/>
        <w:rPr>
          <w:rFonts w:ascii="Calibri" w:hAnsi="Calibri" w:cs="Calibri"/>
          <w:lang w:val="uk-UA"/>
        </w:rPr>
      </w:pPr>
      <w:r>
        <w:rPr>
          <w:rFonts w:cs="Calibri" w:ascii="Calibri" w:hAnsi="Calibri"/>
          <w:lang w:val="uk-UA"/>
        </w:rPr>
      </w:r>
    </w:p>
    <w:p>
      <w:pPr>
        <w:pStyle w:val="Normal"/>
        <w:spacing w:beforeAutospacing="1" w:afterAutospacing="1"/>
        <w:ind w:left="4956" w:hanging="0"/>
        <w:rPr>
          <w:rFonts w:ascii="Calibri" w:hAnsi="Calibri" w:cs="Calibri"/>
          <w:lang w:val="uk-UA"/>
        </w:rPr>
      </w:pPr>
      <w:r>
        <w:rPr>
          <w:rFonts w:cs="Calibri" w:ascii="Calibri" w:hAnsi="Calibri"/>
          <w:lang w:val="uk-UA"/>
        </w:rPr>
      </w:r>
    </w:p>
    <w:p>
      <w:pPr>
        <w:pStyle w:val="Normal"/>
        <w:spacing w:beforeAutospacing="1" w:afterAutospacing="1"/>
        <w:ind w:left="4956" w:hanging="0"/>
        <w:rPr>
          <w:rFonts w:ascii="Calibri" w:hAnsi="Calibri" w:cs="Calibri"/>
          <w:lang w:val="uk-UA"/>
        </w:rPr>
      </w:pPr>
      <w:r>
        <w:rPr>
          <w:rFonts w:cs="Calibri" w:ascii="Calibri" w:hAnsi="Calibri"/>
          <w:lang w:val="uk-UA"/>
        </w:rPr>
      </w:r>
    </w:p>
    <w:p>
      <w:pPr>
        <w:pStyle w:val="Normal"/>
        <w:spacing w:beforeAutospacing="1" w:afterAutospacing="1"/>
        <w:ind w:left="4956" w:hanging="0"/>
        <w:rPr>
          <w:rFonts w:ascii="Calibri" w:hAnsi="Calibri" w:cs="Calibri"/>
          <w:lang w:val="uk-UA"/>
        </w:rPr>
      </w:pPr>
      <w:r>
        <w:rPr>
          <w:rFonts w:cs="Calibri" w:ascii="Calibri" w:hAnsi="Calibri"/>
          <w:lang w:val="uk-UA"/>
        </w:rPr>
      </w:r>
    </w:p>
    <w:p>
      <w:pPr>
        <w:pStyle w:val="Normal"/>
        <w:spacing w:beforeAutospacing="1" w:afterAutospacing="1"/>
        <w:rPr/>
      </w:pPr>
      <w:r>
        <w:rPr/>
      </w:r>
    </w:p>
    <w:sectPr>
      <w:type w:val="nextPage"/>
      <w:pgSz w:w="11906" w:h="16838"/>
      <w:pgMar w:left="1701" w:right="707" w:header="0" w:top="284" w:footer="0" w:bottom="568"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Cambria">
    <w:charset w:val="01"/>
    <w:family w:val="roman"/>
    <w:pitch w:val="default"/>
  </w:font>
  <w:font w:name="Tahoma">
    <w:charset w:val="01"/>
    <w:family w:val="roman"/>
    <w:pitch w:val="default"/>
  </w:font>
  <w:font w:name="Courier New">
    <w:charset w:val="01"/>
    <w:family w:val="roman"/>
    <w:pitch w:val="default"/>
  </w:font>
  <w:font w:name="Liberation Sans">
    <w:altName w:val="Arial"/>
    <w:charset w:val="01"/>
    <w:family w:val="roman"/>
    <w:pitch w:val="default"/>
  </w:font>
  <w:font w:name="Bookshelf Symbol 7">
    <w:charset w:val="01"/>
    <w:family w:val="roman"/>
    <w:pitch w:val="default"/>
  </w:font>
</w:fonts>
</file>

<file path=word/settings.xml><?xml version="1.0" encoding="utf-8"?>
<w:settings xmlns:w="http://schemas.openxmlformats.org/wordprocessingml/2006/main">
  <w:zoom w:percent="120"/>
  <w:embedSystemFonts/>
  <w:defaultTabStop w:val="708"/>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szCs w:val="22"/>
        <w:lang w:val="ru-RU" w:eastAsia="ru-RU" w:bidi="ar-SA"/>
      </w:rPr>
    </w:rPrDefault>
    <w:pPrDefault>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semiHidden="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Body Text 3" w:locked="1" w:uiPriority="0" w:semiHidden="0" w:unhideWhenUsed="0"/>
    <w:lsdException w:name="Strong" w:locked="1" w:uiPriority="0" w:semiHidden="0" w:unhideWhenUsed="0" w:qFormat="1"/>
    <w:lsdException w:name="Emphasis" w:locked="1" w:uiPriority="0" w:semiHidden="0" w:unhideWhenUsed="0" w:qFormat="1"/>
    <w:lsdException w:name="HTML Preformatted" w:locked="1" w:uiPriority="0" w:semiHidden="0" w:unhideWhenUsed="0"/>
    <w:lsdException w:name="Table Grid" w:locked="1" w:uiPriority="0"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e5f78"/>
    <w:pPr>
      <w:widowControl/>
      <w:bidi w:val="0"/>
      <w:jc w:val="left"/>
    </w:pPr>
    <w:rPr>
      <w:rFonts w:ascii="Times New Roman" w:hAnsi="Times New Roman" w:eastAsia="Times New Roman" w:cs="Times New Roman"/>
      <w:color w:val="00000A"/>
      <w:kern w:val="0"/>
      <w:sz w:val="24"/>
      <w:szCs w:val="24"/>
      <w:lang w:val="ru-RU" w:eastAsia="ru-RU" w:bidi="ar-SA"/>
    </w:rPr>
  </w:style>
  <w:style w:type="paragraph" w:styleId="1">
    <w:name w:val="Heading 1"/>
    <w:basedOn w:val="Normal"/>
    <w:next w:val="Normal"/>
    <w:link w:val="Heading1Char"/>
    <w:uiPriority w:val="99"/>
    <w:qFormat/>
    <w:rsid w:val="00a46316"/>
    <w:pPr>
      <w:keepNext w:val="true"/>
      <w:keepLines/>
      <w:spacing w:before="240" w:after="0"/>
      <w:outlineLvl w:val="0"/>
    </w:pPr>
    <w:rPr>
      <w:rFonts w:ascii="Cambria" w:hAnsi="Cambria" w:eastAsia="Calibri" w:cs="Cambria"/>
      <w:color w:val="365F91"/>
      <w:sz w:val="32"/>
      <w:szCs w:val="32"/>
    </w:rPr>
  </w:style>
  <w:style w:type="paragraph" w:styleId="2">
    <w:name w:val="Heading 2"/>
    <w:basedOn w:val="Normal"/>
    <w:next w:val="Normal"/>
    <w:link w:val="Heading2Char"/>
    <w:uiPriority w:val="99"/>
    <w:qFormat/>
    <w:rsid w:val="001e5f78"/>
    <w:pPr>
      <w:keepNext w:val="true"/>
      <w:jc w:val="center"/>
      <w:outlineLvl w:val="1"/>
    </w:pPr>
    <w:rPr>
      <w:rFonts w:eastAsia="Calibri"/>
      <w:b/>
      <w:bCs/>
      <w:lang w:val="uk-UA"/>
    </w:rPr>
  </w:style>
  <w:style w:type="character" w:styleId="DefaultParagraphFont" w:default="1">
    <w:name w:val="Default Paragraph Font"/>
    <w:uiPriority w:val="99"/>
    <w:semiHidden/>
    <w:qFormat/>
    <w:rPr/>
  </w:style>
  <w:style w:type="character" w:styleId="Heading1Char" w:customStyle="1">
    <w:name w:val="Heading 1 Char"/>
    <w:basedOn w:val="DefaultParagraphFont"/>
    <w:link w:val="Heading1"/>
    <w:uiPriority w:val="99"/>
    <w:qFormat/>
    <w:locked/>
    <w:rsid w:val="00a46316"/>
    <w:rPr>
      <w:rFonts w:ascii="Cambria" w:hAnsi="Cambria" w:cs="Cambria"/>
      <w:color w:val="365F91"/>
      <w:sz w:val="32"/>
      <w:szCs w:val="32"/>
      <w:lang w:eastAsia="ru-RU"/>
    </w:rPr>
  </w:style>
  <w:style w:type="character" w:styleId="Heading2Char" w:customStyle="1">
    <w:name w:val="Heading 2 Char"/>
    <w:basedOn w:val="DefaultParagraphFont"/>
    <w:link w:val="Heading2"/>
    <w:uiPriority w:val="99"/>
    <w:qFormat/>
    <w:locked/>
    <w:rsid w:val="001e5f78"/>
    <w:rPr>
      <w:rFonts w:ascii="Times New Roman" w:hAnsi="Times New Roman" w:cs="Times New Roman"/>
      <w:b/>
      <w:bCs/>
      <w:sz w:val="24"/>
      <w:szCs w:val="24"/>
      <w:lang w:val="uk-UA" w:eastAsia="ru-RU"/>
    </w:rPr>
  </w:style>
  <w:style w:type="character" w:styleId="BodyText3Char" w:customStyle="1">
    <w:name w:val="Body Text 3 Char"/>
    <w:basedOn w:val="DefaultParagraphFont"/>
    <w:link w:val="BodyText3"/>
    <w:uiPriority w:val="99"/>
    <w:qFormat/>
    <w:locked/>
    <w:rsid w:val="001e5f78"/>
    <w:rPr>
      <w:rFonts w:ascii="Times New Roman" w:hAnsi="Times New Roman" w:cs="Times New Roman"/>
      <w:b/>
      <w:bCs/>
      <w:sz w:val="24"/>
      <w:szCs w:val="24"/>
      <w:lang w:val="uk-UA" w:eastAsia="ru-RU"/>
    </w:rPr>
  </w:style>
  <w:style w:type="character" w:styleId="BodyTextChar" w:customStyle="1">
    <w:name w:val="Body Text Char"/>
    <w:basedOn w:val="DefaultParagraphFont"/>
    <w:link w:val="BodyText"/>
    <w:uiPriority w:val="99"/>
    <w:qFormat/>
    <w:locked/>
    <w:rsid w:val="007f460d"/>
    <w:rPr>
      <w:rFonts w:ascii="Times New Roman" w:hAnsi="Times New Roman" w:cs="Times New Roman"/>
      <w:sz w:val="24"/>
      <w:szCs w:val="24"/>
      <w:lang w:eastAsia="ru-RU"/>
    </w:rPr>
  </w:style>
  <w:style w:type="character" w:styleId="BalloonTextChar" w:customStyle="1">
    <w:name w:val="Balloon Text Char"/>
    <w:basedOn w:val="DefaultParagraphFont"/>
    <w:link w:val="BalloonText"/>
    <w:uiPriority w:val="99"/>
    <w:semiHidden/>
    <w:qFormat/>
    <w:locked/>
    <w:rsid w:val="00e70453"/>
    <w:rPr>
      <w:rFonts w:ascii="Tahoma" w:hAnsi="Tahoma" w:cs="Tahoma"/>
      <w:sz w:val="16"/>
      <w:szCs w:val="16"/>
      <w:lang w:eastAsia="ru-RU"/>
    </w:rPr>
  </w:style>
  <w:style w:type="character" w:styleId="Rvts9" w:customStyle="1">
    <w:name w:val="rvts9"/>
    <w:basedOn w:val="DefaultParagraphFont"/>
    <w:uiPriority w:val="99"/>
    <w:qFormat/>
    <w:rsid w:val="00b563ac"/>
    <w:rPr/>
  </w:style>
  <w:style w:type="character" w:styleId="HTMLPreformattedChar" w:customStyle="1">
    <w:name w:val="HTML Preformatted Char"/>
    <w:basedOn w:val="DefaultParagraphFont"/>
    <w:link w:val="HTMLPreformatted"/>
    <w:uiPriority w:val="99"/>
    <w:qFormat/>
    <w:locked/>
    <w:rsid w:val="000f552f"/>
    <w:rPr>
      <w:rFonts w:ascii="Courier New" w:hAnsi="Courier New" w:eastAsia="PMingLiU" w:cs="Courier New"/>
      <w:sz w:val="20"/>
      <w:szCs w:val="20"/>
      <w:lang w:eastAsia="zh-TW"/>
    </w:rPr>
  </w:style>
  <w:style w:type="character" w:styleId="Rvts15" w:customStyle="1">
    <w:name w:val="rvts15"/>
    <w:basedOn w:val="DefaultParagraphFont"/>
    <w:uiPriority w:val="99"/>
    <w:qFormat/>
    <w:rsid w:val="004d611c"/>
    <w:rPr/>
  </w:style>
  <w:style w:type="character" w:styleId="Rvts23" w:customStyle="1">
    <w:name w:val="rvts23"/>
    <w:basedOn w:val="DefaultParagraphFont"/>
    <w:uiPriority w:val="99"/>
    <w:qFormat/>
    <w:rsid w:val="004d611c"/>
    <w:rPr/>
  </w:style>
  <w:style w:type="character" w:styleId="Style12">
    <w:name w:val="Гіперпосилання"/>
    <w:basedOn w:val="DefaultParagraphFont"/>
    <w:uiPriority w:val="99"/>
    <w:semiHidden/>
    <w:rsid w:val="00ed5215"/>
    <w:rPr>
      <w:color w:val="0000FF"/>
      <w:u w:val="single"/>
    </w:rPr>
  </w:style>
  <w:style w:type="character" w:styleId="Rvts82" w:customStyle="1">
    <w:name w:val="rvts82"/>
    <w:basedOn w:val="DefaultParagraphFont"/>
    <w:uiPriority w:val="99"/>
    <w:qFormat/>
    <w:rsid w:val="003e0bf7"/>
    <w:rPr/>
  </w:style>
  <w:style w:type="character" w:styleId="Rvts37" w:customStyle="1">
    <w:name w:val="rvts37"/>
    <w:basedOn w:val="DefaultParagraphFont"/>
    <w:uiPriority w:val="99"/>
    <w:qFormat/>
    <w:rsid w:val="000f423e"/>
    <w:rPr/>
  </w:style>
  <w:style w:type="character" w:styleId="ListLabel1">
    <w:name w:val="ListLabel 1"/>
    <w:qFormat/>
    <w:rPr>
      <w:rFonts w:cs="Symbol"/>
    </w:rPr>
  </w:style>
  <w:style w:type="character" w:styleId="ListLabel2">
    <w:name w:val="ListLabel 2"/>
    <w:qFormat/>
    <w:rPr>
      <w:rFonts w:cs="Courier New"/>
    </w:rPr>
  </w:style>
  <w:style w:type="character" w:styleId="ListLabel3">
    <w:name w:val="ListLabel 3"/>
    <w:qFormat/>
    <w:rPr>
      <w:rFonts w:cs="Wingdings"/>
    </w:rPr>
  </w:style>
  <w:style w:type="character" w:styleId="ListLabel4">
    <w:name w:val="ListLabel 4"/>
    <w:qFormat/>
    <w:rPr>
      <w:rFonts w:cs="Symbol"/>
    </w:rPr>
  </w:style>
  <w:style w:type="character" w:styleId="ListLabel5">
    <w:name w:val="ListLabel 5"/>
    <w:qFormat/>
    <w:rPr>
      <w:rFonts w:cs="Courier New"/>
    </w:rPr>
  </w:style>
  <w:style w:type="character" w:styleId="ListLabel6">
    <w:name w:val="ListLabel 6"/>
    <w:qFormat/>
    <w:rPr>
      <w:rFonts w:cs="Wingdings"/>
    </w:rPr>
  </w:style>
  <w:style w:type="character" w:styleId="ListLabel7">
    <w:name w:val="ListLabel 7"/>
    <w:qFormat/>
    <w:rPr>
      <w:rFonts w:cs="Symbol"/>
    </w:rPr>
  </w:style>
  <w:style w:type="character" w:styleId="ListLabel8">
    <w:name w:val="ListLabel 8"/>
    <w:qFormat/>
    <w:rPr>
      <w:rFonts w:cs="Courier New"/>
    </w:rPr>
  </w:style>
  <w:style w:type="character" w:styleId="ListLabel9">
    <w:name w:val="ListLabel 9"/>
    <w:qFormat/>
    <w:rPr>
      <w:rFonts w:cs="Wingdings"/>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link w:val="BodyTextChar"/>
    <w:uiPriority w:val="99"/>
    <w:rsid w:val="007f460d"/>
    <w:pPr>
      <w:spacing w:before="0" w:after="120"/>
    </w:pPr>
    <w:rPr>
      <w:rFonts w:eastAsia="Calibri"/>
    </w:rPr>
  </w:style>
  <w:style w:type="paragraph" w:styleId="Style15">
    <w:name w:val="List"/>
    <w:basedOn w:val="Style14"/>
    <w:pPr/>
    <w:rPr>
      <w:rFonts w:ascii="Times New Roman" w:hAnsi="Times New Roman" w:cs="Arial"/>
    </w:rPr>
  </w:style>
  <w:style w:type="paragraph" w:styleId="Style16">
    <w:name w:val="Caption"/>
    <w:basedOn w:val="Normal"/>
    <w:qFormat/>
    <w:pPr>
      <w:suppressLineNumbers/>
      <w:spacing w:before="120" w:after="120"/>
    </w:pPr>
    <w:rPr>
      <w:rFonts w:ascii="Times New Roman" w:hAnsi="Times New Roman" w:cs="Arial"/>
      <w:i/>
      <w:iCs/>
      <w:sz w:val="24"/>
      <w:szCs w:val="24"/>
    </w:rPr>
  </w:style>
  <w:style w:type="paragraph" w:styleId="Style17">
    <w:name w:val="Покажчик"/>
    <w:basedOn w:val="Normal"/>
    <w:qFormat/>
    <w:pPr>
      <w:suppressLineNumbers/>
    </w:pPr>
    <w:rPr>
      <w:rFonts w:ascii="Times New Roman" w:hAnsi="Times New Roman" w:cs="Arial"/>
    </w:rPr>
  </w:style>
  <w:style w:type="paragraph" w:styleId="11" w:customStyle="1">
    <w:name w:val="Знак1"/>
    <w:basedOn w:val="Normal"/>
    <w:uiPriority w:val="99"/>
    <w:qFormat/>
    <w:rsid w:val="001e5f78"/>
    <w:pPr/>
    <w:rPr>
      <w:rFonts w:ascii="Bookshelf Symbol 7" w:hAnsi="Bookshelf Symbol 7" w:cs="Bookshelf Symbol 7"/>
      <w:sz w:val="20"/>
      <w:szCs w:val="20"/>
      <w:lang w:val="en-US" w:eastAsia="en-US"/>
    </w:rPr>
  </w:style>
  <w:style w:type="paragraph" w:styleId="Caption">
    <w:name w:val="caption"/>
    <w:basedOn w:val="Normal"/>
    <w:next w:val="Normal"/>
    <w:uiPriority w:val="99"/>
    <w:qFormat/>
    <w:rsid w:val="001e5f78"/>
    <w:pPr>
      <w:jc w:val="center"/>
    </w:pPr>
    <w:rPr>
      <w:b/>
      <w:bCs/>
      <w:lang w:val="uk-UA"/>
    </w:rPr>
  </w:style>
  <w:style w:type="paragraph" w:styleId="BodyText3">
    <w:name w:val="Body Text 3"/>
    <w:basedOn w:val="Normal"/>
    <w:link w:val="BodyText3Char"/>
    <w:uiPriority w:val="99"/>
    <w:qFormat/>
    <w:rsid w:val="001e5f78"/>
    <w:pPr/>
    <w:rPr>
      <w:rFonts w:eastAsia="Calibri"/>
      <w:b/>
      <w:bCs/>
      <w:lang w:val="uk-UA"/>
    </w:rPr>
  </w:style>
  <w:style w:type="paragraph" w:styleId="21" w:customStyle="1">
    <w:name w:val="Основной текст 21"/>
    <w:basedOn w:val="Normal"/>
    <w:uiPriority w:val="99"/>
    <w:qFormat/>
    <w:rsid w:val="002d0640"/>
    <w:pPr>
      <w:ind w:firstLine="720"/>
      <w:jc w:val="center"/>
    </w:pPr>
    <w:rPr>
      <w:lang w:val="uk-UA"/>
    </w:rPr>
  </w:style>
  <w:style w:type="paragraph" w:styleId="ListParagraph">
    <w:name w:val="List Paragraph"/>
    <w:basedOn w:val="Normal"/>
    <w:uiPriority w:val="99"/>
    <w:qFormat/>
    <w:rsid w:val="00b13bcd"/>
    <w:pPr>
      <w:ind w:left="720" w:hanging="0"/>
    </w:pPr>
    <w:rPr/>
  </w:style>
  <w:style w:type="paragraph" w:styleId="BalloonText">
    <w:name w:val="Balloon Text"/>
    <w:basedOn w:val="Normal"/>
    <w:link w:val="BalloonTextChar"/>
    <w:uiPriority w:val="99"/>
    <w:semiHidden/>
    <w:qFormat/>
    <w:rsid w:val="00e70453"/>
    <w:pPr/>
    <w:rPr>
      <w:rFonts w:ascii="Tahoma" w:hAnsi="Tahoma" w:eastAsia="Calibri" w:cs="Tahoma"/>
      <w:sz w:val="16"/>
      <w:szCs w:val="16"/>
    </w:rPr>
  </w:style>
  <w:style w:type="paragraph" w:styleId="HTMLPreformatted">
    <w:name w:val="HTML Preformatted"/>
    <w:basedOn w:val="Normal"/>
    <w:link w:val="HTMLPreformattedChar"/>
    <w:uiPriority w:val="99"/>
    <w:qFormat/>
    <w:rsid w:val="000f552f"/>
    <w:pPr/>
    <w:rPr>
      <w:rFonts w:ascii="Courier New" w:hAnsi="Courier New" w:eastAsia="PMingLiU" w:cs="Courier New"/>
      <w:sz w:val="20"/>
      <w:szCs w:val="20"/>
      <w:lang w:eastAsia="zh-TW"/>
    </w:rPr>
  </w:style>
  <w:style w:type="paragraph" w:styleId="Rvps2" w:customStyle="1">
    <w:name w:val="rvps2"/>
    <w:basedOn w:val="Normal"/>
    <w:uiPriority w:val="99"/>
    <w:qFormat/>
    <w:rsid w:val="008c3242"/>
    <w:pPr>
      <w:spacing w:beforeAutospacing="1" w:afterAutospacing="1"/>
    </w:pPr>
    <w:rPr/>
  </w:style>
  <w:style w:type="paragraph" w:styleId="Rvps1" w:customStyle="1">
    <w:name w:val="rvps1"/>
    <w:basedOn w:val="Normal"/>
    <w:uiPriority w:val="99"/>
    <w:qFormat/>
    <w:rsid w:val="004d611c"/>
    <w:pPr>
      <w:spacing w:beforeAutospacing="1" w:afterAutospacing="1"/>
    </w:pPr>
    <w:rPr>
      <w:lang w:val="en-US" w:eastAsia="en-US"/>
    </w:rPr>
  </w:style>
  <w:style w:type="paragraph" w:styleId="Rvps4" w:customStyle="1">
    <w:name w:val="rvps4"/>
    <w:basedOn w:val="Normal"/>
    <w:uiPriority w:val="99"/>
    <w:qFormat/>
    <w:rsid w:val="004d611c"/>
    <w:pPr>
      <w:spacing w:beforeAutospacing="1" w:afterAutospacing="1"/>
    </w:pPr>
    <w:rPr>
      <w:lang w:val="en-US" w:eastAsia="en-US"/>
    </w:rPr>
  </w:style>
  <w:style w:type="paragraph" w:styleId="Rvps7" w:customStyle="1">
    <w:name w:val="rvps7"/>
    <w:basedOn w:val="Normal"/>
    <w:uiPriority w:val="99"/>
    <w:qFormat/>
    <w:rsid w:val="004d611c"/>
    <w:pPr>
      <w:spacing w:beforeAutospacing="1" w:afterAutospacing="1"/>
    </w:pPr>
    <w:rPr>
      <w:lang w:val="en-US" w:eastAsia="en-US"/>
    </w:rPr>
  </w:style>
  <w:style w:type="paragraph" w:styleId="Rvps14" w:customStyle="1">
    <w:name w:val="rvps14"/>
    <w:basedOn w:val="Normal"/>
    <w:uiPriority w:val="99"/>
    <w:qFormat/>
    <w:rsid w:val="004d611c"/>
    <w:pPr>
      <w:spacing w:beforeAutospacing="1" w:afterAutospacing="1"/>
    </w:pPr>
    <w:rPr>
      <w:lang w:val="en-US" w:eastAsia="en-US"/>
    </w:rPr>
  </w:style>
  <w:style w:type="paragraph" w:styleId="Rvps6" w:customStyle="1">
    <w:name w:val="rvps6"/>
    <w:basedOn w:val="Normal"/>
    <w:uiPriority w:val="99"/>
    <w:qFormat/>
    <w:rsid w:val="004d611c"/>
    <w:pPr>
      <w:spacing w:beforeAutospacing="1" w:afterAutospacing="1"/>
    </w:pPr>
    <w:rPr>
      <w:lang w:val="en-US" w:eastAsia="en-US"/>
    </w:rPr>
  </w:style>
  <w:style w:type="paragraph" w:styleId="Rvps12" w:customStyle="1">
    <w:name w:val="rvps12"/>
    <w:basedOn w:val="Normal"/>
    <w:uiPriority w:val="99"/>
    <w:qFormat/>
    <w:rsid w:val="000f423e"/>
    <w:pPr>
      <w:spacing w:beforeAutospacing="1" w:afterAutospacing="1"/>
    </w:pPr>
    <w:rPr>
      <w:lang w:val="en-US" w:eastAsia="en-US"/>
    </w:rPr>
  </w:style>
  <w:style w:type="numbering" w:styleId="NoList" w:default="1">
    <w:name w:val="No List"/>
    <w:uiPriority w:val="99"/>
    <w:semiHidden/>
    <w:unhideWhenUsed/>
    <w:qFormat/>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table" w:styleId="TableGrid">
    <w:name w:val="Table Grid"/>
    <w:basedOn w:val="TableNormal"/>
    <w:uiPriority w:val="99"/>
    <w:rsid w:val="003f74bd"/>
    <w:rPr>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image" Target="media/image2.jpeg"/><Relationship Id="rId4" Type="http://schemas.openxmlformats.org/officeDocument/2006/relationships/hyperlink" Target="file:///C:/Users/&#1040;&#1075;&#1072;&#1087;&#1086;&#1074;&#1072; &#1042;/Desktop/&#1074;&#1080;&#1082;&#1086;&#1085;&#1082;&#1086;&#1084; 28.02.2018/&#1079;&#1077;&#1084;&#1083;&#1103;/_blank" TargetMode="External"/><Relationship Id="rId5" Type="http://schemas.openxmlformats.org/officeDocument/2006/relationships/hyperlink" Target="file:///C:/Users/&#1040;&#1075;&#1072;&#1087;&#1086;&#1074;&#1072; &#1042;/Desktop/&#1074;&#1080;&#1082;&#1086;&#1085;&#1082;&#1086;&#1084; 28.02.2018/&#1079;&#1077;&#1084;&#1083;&#1103;/_blank"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236</TotalTime>
  <Application>LibreOffice/5.4.4.2$Windows_x86 LibreOffice_project/2524958677847fb3bb44820e40380acbe820f960</Application>
  <Pages>5</Pages>
  <Words>761</Words>
  <Characters>4445</Characters>
  <CharactersWithSpaces>5804</CharactersWithSpaces>
  <Paragraphs>245</Paragraphs>
  <Company>Reanimator Extreme Edition</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2018-01-30T10:41:00Z</dcterms:created>
  <dc:creator>User</dc:creator>
  <dc:description/>
  <dc:language>uk-UA</dc:language>
  <cp:lastModifiedBy/>
  <cp:lastPrinted>2018-02-19T08:08:00Z</cp:lastPrinted>
  <dcterms:modified xsi:type="dcterms:W3CDTF">2018-03-02T14:03:56Z</dcterms:modified>
  <cp:revision>49</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Reanimator Extreme Edition</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