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травня </w:t>
      </w:r>
      <w:r>
        <w:rPr>
          <w:sz w:val="28"/>
          <w:szCs w:val="28"/>
        </w:rPr>
        <w:t>2018р.                                                                                         №</w:t>
      </w:r>
      <w:r>
        <w:rPr>
          <w:sz w:val="28"/>
          <w:szCs w:val="28"/>
        </w:rPr>
        <w:t>218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D170E4E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091815" cy="1173480"/>
                <wp:effectExtent l="0" t="0" r="0" b="889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320" cy="11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торговельного павільйону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По пути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» розташованого за адресою                 вул.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Вишнева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43.35pt;height:92.3pt" wp14:anchorId="4D170E4E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торговельного павільйону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По пути</w:t>
                      </w:r>
                      <w:r>
                        <w:rPr>
                          <w:color w:val="auto"/>
                          <w:szCs w:val="28"/>
                        </w:rPr>
                        <w:t xml:space="preserve">» розташованого за адресою                 вул.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Вишнева</w:t>
                      </w:r>
                      <w:r>
                        <w:rPr>
                          <w:color w:val="auto"/>
                          <w:szCs w:val="28"/>
                        </w:rPr>
                        <w:t xml:space="preserve">,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5</w:t>
                      </w:r>
                      <w:r>
                        <w:rPr>
                          <w:color w:val="auto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Левляс Любові Михайлівни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торговельного павільйону «По пути», розташованого за адресою                    вул. Вишнева, 5 з 07.30 до 21.30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bookmarkStart w:id="0" w:name="_GoBack"/>
            <w:bookmarkStart w:id="1" w:name="_GoBack"/>
            <w:bookmarkEnd w:id="1"/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CB97-BCE5-43F3-B3E1-258E08AB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LibreOffice/5.4.4.2$Windows_x86 LibreOffice_project/2524958677847fb3bb44820e40380acbe820f960</Application>
  <Pages>1</Pages>
  <Words>168</Words>
  <Characters>1037</Characters>
  <CharactersWithSpaces>1322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2018-05-14T05:52:00Z</dcterms:created>
  <dc:creator>Prohor</dc:creator>
  <dc:description/>
  <dc:language>uk-UA</dc:language>
  <cp:lastModifiedBy/>
  <cp:lastPrinted>2018-05-23T10:07:00Z</cp:lastPrinted>
  <dcterms:modified xsi:type="dcterms:W3CDTF">2018-05-29T10:24:06Z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