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false"/>
        <w:jc w:val="right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2981960</wp:posOffset>
            </wp:positionH>
            <wp:positionV relativeFrom="paragraph">
              <wp:posOffset>-118110</wp:posOffset>
            </wp:positionV>
            <wp:extent cx="457200" cy="685800"/>
            <wp:effectExtent l="0" t="0" r="0" b="0"/>
            <wp:wrapNone/>
            <wp:docPr id="1" name="Рисунок 1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bCs/>
          <w:sz w:val="28"/>
          <w:szCs w:val="28"/>
          <w:lang w:val="uk-UA" w:eastAsia="ru-RU"/>
        </w:rPr>
        <w:t>к</w:t>
      </w:r>
      <w:bookmarkStart w:id="0" w:name="__DdeLink__76_726837087"/>
      <w:r>
        <w:rPr>
          <w:rFonts w:eastAsia="Calibri"/>
          <w:b/>
          <w:bCs/>
          <w:sz w:val="28"/>
          <w:szCs w:val="28"/>
          <w:lang w:val="uk-UA" w:eastAsia="ru-RU"/>
        </w:rPr>
        <w:t>опія</w:t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МІСЦЕВЕ САМОВРЯДУВАННЯ</w:t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ПОКРОВСЬКА МІСЬКА РАДА</w:t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ДНІПРОПЕТРОВСЬКОЇ ОБЛАСТІ</w:t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___________________________________________________________________</w:t>
      </w:r>
    </w:p>
    <w:p>
      <w:pPr>
        <w:pStyle w:val="Normal"/>
        <w:widowControl w:val="false"/>
        <w:suppressAutoHyphens w:val="false"/>
        <w:jc w:val="center"/>
        <w:rPr/>
      </w:pPr>
      <w:r>
        <w:rPr>
          <w:rFonts w:eastAsia="Calibri"/>
          <w:b/>
          <w:bCs/>
          <w:sz w:val="28"/>
          <w:szCs w:val="28"/>
          <w:lang w:val="uk-UA" w:eastAsia="ru-RU"/>
        </w:rPr>
        <w:t xml:space="preserve">  </w:t>
      </w:r>
      <w:r>
        <w:rPr>
          <w:rFonts w:eastAsia="Calibri"/>
          <w:b/>
          <w:bCs/>
          <w:sz w:val="28"/>
          <w:szCs w:val="28"/>
          <w:lang w:val="uk-UA" w:eastAsia="ru-RU"/>
        </w:rPr>
        <w:t>Р І Ш Е Н Н Я</w:t>
      </w:r>
    </w:p>
    <w:p>
      <w:pPr>
        <w:pStyle w:val="Normal"/>
        <w:widowControl w:val="false"/>
        <w:suppressAutoHyphens w:val="false"/>
        <w:jc w:val="center"/>
        <w:rPr>
          <w:rFonts w:eastAsia="Calibri"/>
          <w:b/>
          <w:b/>
          <w:bCs/>
          <w:lang w:val="uk-UA" w:eastAsia="ru-RU"/>
        </w:rPr>
      </w:pPr>
      <w:r>
        <w:rPr>
          <w:sz w:val="20"/>
          <w:szCs w:val="20"/>
        </w:rPr>
      </w:r>
    </w:p>
    <w:p>
      <w:pPr>
        <w:pStyle w:val="Normal"/>
        <w:tabs>
          <w:tab w:val="left" w:pos="0" w:leader="none"/>
          <w:tab w:val="left" w:pos="4536" w:leader="none"/>
        </w:tabs>
        <w:spacing w:lineRule="auto" w:line="216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28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>
        <w:rPr>
          <w:sz w:val="28"/>
          <w:szCs w:val="28"/>
          <w:lang w:val="uk-UA"/>
        </w:rPr>
        <w:t xml:space="preserve"> 2018 р.                               </w:t>
        <w:tab/>
        <w:tab/>
        <w:t xml:space="preserve">                                               №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16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(37 сесія 7 скликання)</w:t>
      </w:r>
    </w:p>
    <w:p>
      <w:pPr>
        <w:pStyle w:val="Normal"/>
        <w:tabs>
          <w:tab w:val="left" w:pos="0" w:leader="none"/>
        </w:tabs>
        <w:spacing w:lineRule="auto" w:line="216"/>
        <w:jc w:val="center"/>
        <w:rPr>
          <w:lang w:val="uk-UA"/>
        </w:rPr>
      </w:pPr>
      <w:r>
        <w:rPr>
          <w:sz w:val="28"/>
          <w:szCs w:val="28"/>
        </w:rPr>
      </w:r>
    </w:p>
    <w:tbl>
      <w:tblPr>
        <w:tblW w:w="4618" w:type="dxa"/>
        <w:jc w:val="left"/>
        <w:tblInd w:w="168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108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4618"/>
      </w:tblGrid>
      <w:tr>
        <w:trPr>
          <w:trHeight w:val="1786" w:hRule="atLeast"/>
        </w:trPr>
        <w:tc>
          <w:tcPr>
            <w:tcW w:w="461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left" w:pos="6096" w:leader="none"/>
                <w:tab w:val="left" w:pos="6123" w:leader="none"/>
              </w:tabs>
              <w:spacing w:lineRule="auto" w:line="216"/>
              <w:ind w:left="-108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35 сесії міської ради 7 скликання від 27.07.2018 №5 “Про затвердження міської програми «Дієва громада – ефективна влада в м. Покров на 2018 – 2020 роки»” </w:t>
            </w:r>
          </w:p>
        </w:tc>
      </w:tr>
    </w:tbl>
    <w:p>
      <w:pPr>
        <w:pStyle w:val="1"/>
        <w:numPr>
          <w:ilvl w:val="0"/>
          <w:numId w:val="0"/>
        </w:numPr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0"/>
        </w:numPr>
        <w:spacing w:lineRule="auto" w:line="216"/>
        <w:ind w:firstLine="708"/>
        <w:rPr>
          <w:sz w:val="27"/>
          <w:szCs w:val="27"/>
        </w:rPr>
      </w:pPr>
      <w:r>
        <w:rPr>
          <w:sz w:val="28"/>
          <w:szCs w:val="28"/>
        </w:rPr>
        <w:t xml:space="preserve">З метою визначення складу конкурсної комісії та </w:t>
      </w:r>
      <w:r>
        <w:rPr>
          <w:sz w:val="28"/>
          <w:szCs w:val="28"/>
          <w:lang w:eastAsia="ru-RU"/>
        </w:rPr>
        <w:t>запобігання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</w:t>
      </w:r>
      <w:r>
        <w:rPr>
          <w:sz w:val="28"/>
          <w:szCs w:val="28"/>
        </w:rPr>
        <w:t xml:space="preserve"> відповідно до Постанови Кабінету Міністрів України від 12 жовтня 2011 р.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 , керуючись законом України "Про місцеве самоврядування в Україні", міська рада</w:t>
      </w:r>
    </w:p>
    <w:p>
      <w:pPr>
        <w:pStyle w:val="Normal"/>
        <w:tabs>
          <w:tab w:val="left" w:pos="0" w:leader="none"/>
        </w:tabs>
        <w:spacing w:lineRule="auto" w:line="216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 И Р І Ш И Л А:</w:t>
      </w:r>
    </w:p>
    <w:p>
      <w:pPr>
        <w:pStyle w:val="Normal"/>
        <w:tabs>
          <w:tab w:val="left" w:pos="0" w:leader="none"/>
        </w:tabs>
        <w:spacing w:lineRule="auto" w:line="216"/>
        <w:jc w:val="center"/>
        <w:rPr>
          <w:lang w:val="uk-UA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spacing w:lineRule="auto" w:line="216"/>
        <w:ind w:left="0"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Внести зміни в абзац 10 розділу 1 «Положення програми «Дієва громада-ефективна влада в м. Покров на 2018-2020 роки» (далі – Положення), затвердженого рішенням 35 сесії міської ради 7 скликання від 27.07.2018р. №5 “Про затвердження міської програми «Дієва громада-ефективна влада в м. Покров на 2018-2020 роки»”, виклавши його в новій редакції: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«конкурсна комісія - тимчасово діючий орган, що утворюється організатором конкурсу для розгляду конкурсних пропозицій, а також результатів моніторингу стану виконання (реалізації) програм (проектів, заходів). Персональний склад конкурсної комісії створюється розпорядженням міського голови.»</w:t>
      </w:r>
    </w:p>
    <w:p>
      <w:pPr>
        <w:pStyle w:val="Normal"/>
        <w:numPr>
          <w:ilvl w:val="0"/>
          <w:numId w:val="2"/>
        </w:numPr>
        <w:spacing w:lineRule="auto" w:line="21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Доповнити розділ 5 Положення абзацами 1 та 2 наступного змісту: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«Організатор конкурсу утворює конкурсну комісію та затверджує її персональний склад. Головою конкурсної комісії призначається представник організатора конкурсу. Конкурсна комісія на першому засіданні затверджує регламент її роботи.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До складу конкурсної комісії включаються представники організатора конкурсу, голова (уповноважений представник) громадської ради, представники інститутів громадянського суспільства. Чисельність державних службовців та посадових осіб органів місцевого самоврядування не повинна перевищувати 50% кількості членів конкурсної комісії. Члени конкурсної комісії здійснюють свої повноваження на громадських засадах.»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У зв’язку з цим абзаци 1-11 вважати відповідно абзацами 3-13.</w:t>
      </w:r>
    </w:p>
    <w:p>
      <w:pPr>
        <w:pStyle w:val="Normal"/>
        <w:numPr>
          <w:ilvl w:val="0"/>
          <w:numId w:val="2"/>
        </w:numPr>
        <w:spacing w:lineRule="auto" w:line="216"/>
        <w:ind w:left="0"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Доповнити Положення після розділу 5 розділом 6 наступного змісту:</w:t>
      </w:r>
    </w:p>
    <w:p>
      <w:pPr>
        <w:pStyle w:val="Normal"/>
        <w:spacing w:lineRule="auto" w:line="216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ab/>
        <w:t>«6. Правила врегулювання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 w:eastAsia="ru-RU"/>
        </w:rPr>
        <w:t>З метою запобігання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 потрібно дотримуватися правил запобігання та врегулювання конфлікту інтересів, передбачених Законом України «Про запобігання корупції».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 w:eastAsia="ru-RU"/>
        </w:rPr>
        <w:t>6.1. На виконання вимог Закону України «Про запобігання корупції» учасники конкурсів та члени органів, які ухвалюють рішення та при тому не є службовцями органів місцевого самоврядування зобов’язані:</w:t>
      </w:r>
    </w:p>
    <w:p>
      <w:pPr>
        <w:pStyle w:val="Normal"/>
        <w:spacing w:lineRule="auto" w:line="216"/>
        <w:jc w:val="both"/>
        <w:rPr>
          <w:sz w:val="27"/>
          <w:szCs w:val="27"/>
        </w:rPr>
      </w:pPr>
      <w:r>
        <w:rPr>
          <w:sz w:val="28"/>
          <w:szCs w:val="28"/>
          <w:lang w:val="uk-UA" w:eastAsia="ru-RU"/>
        </w:rPr>
        <w:t>- вживати заходів щодо недопущення виникнення реального або потенційного конфлікту інтересів;</w:t>
      </w:r>
    </w:p>
    <w:p>
      <w:pPr>
        <w:pStyle w:val="Normal"/>
        <w:spacing w:lineRule="auto" w:line="216"/>
        <w:jc w:val="both"/>
        <w:rPr>
          <w:sz w:val="27"/>
          <w:szCs w:val="27"/>
        </w:rPr>
      </w:pPr>
      <w:r>
        <w:rPr>
          <w:sz w:val="28"/>
          <w:szCs w:val="28"/>
          <w:lang w:val="uk-UA" w:eastAsia="ru-RU"/>
        </w:rPr>
        <w:t>- письмово, шляхом спрямування власноручної заяви, повідомляти не пізніше наступного дня з моменту, коли дізналися чи повинні були дізнатися про наявність  реального чи потенційного конфлікту інтересів, безпосередньо голову конкурсної комісії;</w:t>
      </w:r>
    </w:p>
    <w:p>
      <w:pPr>
        <w:pStyle w:val="Normal"/>
        <w:spacing w:lineRule="auto" w:line="216"/>
        <w:jc w:val="both"/>
        <w:rPr>
          <w:sz w:val="27"/>
          <w:szCs w:val="27"/>
          <w:lang w:val="uk-UA" w:eastAsia="ru-RU"/>
        </w:rPr>
      </w:pPr>
      <w:r>
        <w:rPr>
          <w:sz w:val="28"/>
          <w:szCs w:val="28"/>
          <w:lang w:val="uk-UA" w:eastAsia="ru-RU"/>
        </w:rPr>
        <w:t>- не вчиняти дій та не приймати рішень в умовах реального конфлікту інтересів.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 w:eastAsia="ru-RU"/>
        </w:rPr>
        <w:t>6.2. Голова конкурсної комісії після отримання заяви приймає рішення щодо врегулювання конфлікту інтересів згідно Закону України «Про запобігання корупції».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>6.3. У разі існування в учасників конкурсів та членів органів, які ухвалюють рішення та при тому не є службовцями органів місцевого самоврядування сумнівів щодо наявності конфлікту інтересів вони можуть звернутися за роз’ясненнями до відділу з питань запобігання та протидії корупції виконавчого комітету Покровської міської ради або до територіального органу Національного</w:t>
      </w:r>
      <w:r>
        <w:rPr>
          <w:color w:val="FFFFFF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агентства з питань запобігання корупції.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>6.4. Про конфлікт інтересів може заявити будь-який член конкурсної комісії зазначивши обставин, при яких він дізнався про наявність конфлікту інтересів. Заява про конфлікт інтересів заноситься в протокол засідання.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</w:rPr>
      </w:pPr>
      <w:r>
        <w:rPr>
          <w:sz w:val="28"/>
          <w:szCs w:val="28"/>
          <w:lang w:val="uk-UA" w:eastAsia="ru-RU"/>
        </w:rPr>
        <w:t>6.5. Організатор конкурсу, за поданням конкурсної комісії виводить з її складу (постійно або на час проведення тільки цього конкурсу) члена комісії в якого виявлено конфлікт інтересів.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 w:eastAsia="ru-RU"/>
        </w:rPr>
      </w:pPr>
      <w:r>
        <w:rPr>
          <w:sz w:val="28"/>
          <w:szCs w:val="28"/>
          <w:lang w:val="uk-UA" w:eastAsia="ru-RU"/>
        </w:rPr>
        <w:t>6.6. 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конфлікт інтересів, не враховуються.»</w:t>
      </w:r>
    </w:p>
    <w:p>
      <w:pPr>
        <w:pStyle w:val="Normal"/>
        <w:spacing w:lineRule="auto" w:line="216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 w:eastAsia="ru-RU"/>
        </w:rPr>
        <w:t>У</w:t>
      </w:r>
      <w:r>
        <w:rPr>
          <w:sz w:val="28"/>
          <w:szCs w:val="28"/>
          <w:lang w:val="uk-UA"/>
        </w:rPr>
        <w:t xml:space="preserve"> зв’язку з цим розділи 6-8 Положення вважати відповідно розділами 7-9 Положення.</w:t>
      </w:r>
    </w:p>
    <w:p>
      <w:pPr>
        <w:pStyle w:val="ListParagraph"/>
        <w:numPr>
          <w:ilvl w:val="0"/>
          <w:numId w:val="2"/>
        </w:numPr>
        <w:spacing w:lineRule="auto" w:line="21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ListParagraph"/>
        <w:spacing w:lineRule="auto" w:line="216"/>
        <w:ind w:left="0" w:firstLine="708"/>
        <w:jc w:val="both"/>
        <w:rPr>
          <w:lang w:val="uk-UA"/>
        </w:rPr>
      </w:pPr>
      <w:r>
        <w:rPr>
          <w:sz w:val="28"/>
          <w:szCs w:val="28"/>
        </w:rPr>
      </w:r>
    </w:p>
    <w:p>
      <w:pPr>
        <w:pStyle w:val="ListParagraph"/>
        <w:spacing w:lineRule="auto" w:line="216"/>
        <w:ind w:left="0" w:firstLine="708"/>
        <w:jc w:val="both"/>
        <w:rPr>
          <w:lang w:val="uk-UA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pacing w:val="-3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widowControl w:val="false"/>
        <w:suppressAutoHyphens w:val="false"/>
        <w:spacing w:lineRule="auto" w:line="216"/>
        <w:rPr>
          <w:sz w:val="22"/>
          <w:szCs w:val="22"/>
        </w:rPr>
      </w:pPr>
      <w:bookmarkStart w:id="1" w:name="_GoBack"/>
      <w:bookmarkEnd w:id="1"/>
      <w:r>
        <w:rPr>
          <w:rFonts w:eastAsia="Calibri"/>
          <w:sz w:val="22"/>
          <w:szCs w:val="22"/>
          <w:lang w:val="uk-UA" w:eastAsia="ru-RU"/>
        </w:rPr>
        <w:t xml:space="preserve">Ткаченко А.Я. </w:t>
      </w:r>
      <w:bookmarkEnd w:id="0"/>
      <w:r>
        <w:rPr>
          <w:rFonts w:eastAsia="Calibri"/>
          <w:sz w:val="22"/>
          <w:szCs w:val="22"/>
          <w:lang w:val="uk-UA" w:eastAsia="ru-RU"/>
        </w:rPr>
        <w:t>4-22-44</w:t>
      </w:r>
    </w:p>
    <w:sectPr>
      <w:type w:val="nextPage"/>
      <w:pgSz w:w="11906" w:h="16838"/>
      <w:pgMar w:left="1633" w:right="707" w:header="0" w:top="709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5af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10"/>
    <w:qFormat/>
    <w:rsid w:val="009b5aff"/>
    <w:pPr>
      <w:keepNext w:val="true"/>
      <w:numPr>
        <w:ilvl w:val="0"/>
        <w:numId w:val="1"/>
      </w:numPr>
      <w:jc w:val="both"/>
      <w:outlineLvl w:val="0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b5aff"/>
    <w:rPr>
      <w:rFonts w:ascii="Times New Roman" w:hAnsi="Times New Roman" w:eastAsia="Times New Roman" w:cs="Times New Roman"/>
      <w:sz w:val="28"/>
      <w:szCs w:val="24"/>
      <w:lang w:val="uk-UA"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9b5aff"/>
    <w:pPr>
      <w:suppressLineNumbers/>
      <w:spacing w:before="120" w:after="120"/>
    </w:pPr>
    <w:rPr>
      <w:rFonts w:cs="Arial"/>
      <w:i/>
      <w:iCs/>
    </w:rPr>
  </w:style>
  <w:style w:type="paragraph" w:styleId="2" w:customStyle="1">
    <w:name w:val=" Знак Знак2"/>
    <w:basedOn w:val="Normal"/>
    <w:qFormat/>
    <w:rsid w:val="005d0a8a"/>
    <w:pPr>
      <w:suppressAutoHyphens w:val="false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d0a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LibreOffice/5.4.7.2$Windows_X86_64 LibreOffice_project/c838ef25c16710f8838b1faec480ebba495259d0</Application>
  <Pages>2</Pages>
  <Words>667</Words>
  <Characters>4494</Characters>
  <CharactersWithSpaces>5220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2018-09-21T08:00:00Z</dcterms:created>
  <dc:creator>user207-1</dc:creator>
  <dc:description/>
  <dc:language>uk-UA</dc:language>
  <cp:lastModifiedBy/>
  <cp:lastPrinted>2018-09-21T08:13:00Z</cp:lastPrinted>
  <dcterms:modified xsi:type="dcterms:W3CDTF">2018-10-01T08:43:56Z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