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2760980</wp:posOffset>
            </wp:positionH>
            <wp:positionV relativeFrom="paragraph">
              <wp:posOffset>-669925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ПОКРОВСЬКА МІСЬКА РАДА 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7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  <w:t>20.12.2024                                                        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       №Р-180/06-34-24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</w:rPr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Про подачу та перевірку поданих декларацій, повідомлень про суттєві зміни в майновому стані та відкриття валютного рахунку в банку – нерезидента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uk-UA"/>
        </w:rPr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uk-UA"/>
        </w:rPr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Відповідно до Закону України «Про запобігання корупції», наказів НАЗК від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08.11.2023  № 252/23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«Про затвердження форми декларації особи, уповноваженої на виконання функцій держави або місцевого самоврядування, та Порядку заповнення та подання декларації особи, уповноваженої на виконання функцій держави або місцевого самоврядування», від 23.07.2021 №450/21 «Про затвердження Порядку інформування Національного агентства з питань запобігання корупції про суттєві зміни у майновому стані суб'єкта декларування», від 23.07.2021 №451/21 «Про затвердження Порядку інформування Національного агентства з питань запобігання корупції про відкриття валютного рахунка в установі банку-нерезидента», від 20.08.2021 №539/21 «Про затвердження Порядку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 таких декларацій», Роз’яснення НАЗК (зі змінами та доповненнями) від 13.11.2023 №4 щодо фінансової доброчесності: застосування окремих положень Закону України «Про запобігання корупції» стосовно заходів фінансового контролю (подання декларацій, повідомлення про суттєві зміни в майновому стані, повідомлення про відкриття валютного рахунку), керуючись ст. 42 Закону України «Про місцеве самоврядування в Україні»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uk-UA"/>
        </w:rPr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1. Посадових осіб виконавчого комітету Покровської міської ради, керівників структурних підрозділів та комунальних підприємств міста підпорядкованих виконавчому комітету Покровської міської ради подати, шляхом заповнення на офіційному вебсайті НАЗК (http://nazk.gov.ua), декларацію особи, уповноваженої на виконання функцій держави або місцевого самоврядування, за минулий рік за формою, що затверджена наказом НАЗК від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08.11.2023 № 252/23 (зі змінами)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за 2024 рік:</w:t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ab/>
        <w:t>Термін виконання: до 1 квітня 2025 року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2. Всім суб’єктам декларування, перед початком подачі декларацій обов’язково ознайомитися з Роз’ясненнями НАЗК від 13.11.2023 №4 (зі змінами та доповненнями) щодо фінансової доброчесності: застосування окремих положень Закону України «Про запобігання корупції» стосовно заходів фінансового контролю (подання декларацій, повідомлення про суттєві зміни в майновому стані, повідомлення про відкриття валютного рахунку)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3. Головному спеціалісту з питань персоналу Оксані ТОВКАНЬ: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3.1. сформувати та надати до відділу з питань запобігання та протидії корупції, списки осіб: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- працюючих у виконавчому комітеті Покровської міської ради станом на 01.01.2025 року;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- звільнених протягом 2024 року;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- призначених на роботу у 2024 році.</w:t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ab/>
        <w:t>Термін виконання: до 10 січня 2025 року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3.2. Попереджувати посадових осіб, які звільняються про необхідність заповнення декларації особи, яка припиняє діяльність та про необхідність подачі декларації наступного за звітним року, під особистий підпис, за формою згідно з додатком до цього розпорядження. 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3.3. Попереджувати осіб, що претендують/обираються на зайняття посади (беруть участь у конкурсі) про необхідність подання декларації: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- посадової особи у виконавчому комітеті Покровської міської ради; 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- керівників структурних підрозділів та комунальних підприємств, установ, закладів, підпорядкованих виконавчому комітету Покровської міської ради.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4. Секретарю міської ради Сергію КУРАСОВУ та начальнику організаційного відділу Інні СМІРНОВІЙ забезпечити ознайомлення депутатів міської ради з вимогами Закону щодо необхідності подання декларацій та повідомлення про відкриття валютного рахунку в банку – нерезидента.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5. Всім суб'єктам декларування, у разі відкриття валютного рахунка в установі банку-нерезидента (в тому числі членом сім’ї), керуватися Порядком інформування Національного агентства з питань запобігання корупції про відкриття валютного рахунка в установі банку-нерезидента, затвердженим наказом НАЗК від 23.07.2021 №451/21.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6. Начальнику   відділу   з  питань  запобігання та  протидії  корупції Тетяні  ГОРЧАКОВІЙ: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6.1. надавати методичну та консультаційну допомогу суб’єктам декларування виконавчого комітету Покровської міської ради;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6.2. проводити перевірку факту подання декларацій, а у випадку встановлення факту неподання, чи несвоєчасного подання надсилати повідомлення до НАЗК, у строки зазначені в Порядку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 таких декларацій, затвердженим наказом НАЗК від 20.08.2021 №539/21.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7. Керівникам підприємств, установ та закладів підпорядкованих виконавчому комітету Покровській міській раді: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7.1. визначити своїми наказами коло осіб, які повинні подати щорічні декларації врахувавши законодавство та Роз’яснення НАЗК від 13.11.2023 №4 (зі змінами);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7.2. надати копії наказів до відділу з питань запобігання та протидії корупції виконавчого комітету Покровської міської ради.</w:t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bookmarkStart w:id="0" w:name="_Hlk185493713"/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>Термін виконання: до 10.01.2025 року</w:t>
      </w:r>
      <w:bookmarkEnd w:id="0"/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7.3.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зобов’язати відповідальних осіб з питань запобігання та протидії корупції, контролювати проведення відповідної роботи; проводити перевірку факту подання декларацій, а у випадку встановлення факту неподання, чи несвоєчасного подання надсилати повідомлення до НАЗК, у строки зазначені в Порядку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 таких декларацій, затвердженим наказом НАЗК від 20.08.2021 №539/21;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7.4. надати</w:t>
      </w:r>
      <w:r>
        <w:rPr>
          <w:rFonts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до відділу з питань запобігання та протидії корупції виконавчого комітету Покровської міської ради інформацію про проведену роботу з перевірки факту подання декларацій, </w:t>
      </w:r>
      <w:r>
        <w:rPr>
          <w:rFonts w:cs="Times New Roman" w:ascii="Times New Roman" w:hAnsi="Times New Roman"/>
          <w:sz w:val="28"/>
          <w:szCs w:val="28"/>
        </w:rPr>
        <w:t>після її виконання відповідальними особами з дотриманням строків зазначених у п. 4.1 наказу НАЗК від 20.08.2021 № 539/21.</w:t>
      </w:r>
    </w:p>
    <w:p>
      <w:pPr>
        <w:pStyle w:val="Normal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Термін виконання: протягом 3 робочих днів </w:t>
      </w:r>
    </w:p>
    <w:p>
      <w:pPr>
        <w:pStyle w:val="Normal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8. Визнати таким, що втратило чинність розпорядження міського голови від 27.12.2023 №Р-204/06-34-23 «Про подачу та перевірку поданих декларацій, повідомлень про суттєві зміни в майновому стані та відкриття валютного рахунку в банку – нерезидента». 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uk-UA"/>
        </w:rPr>
        <w:t xml:space="preserve">9.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Координацію роботи щодо виконання цього розпорядження покласти на начальника  відділу  з  пи</w:t>
      </w:r>
      <w:bookmarkStart w:id="1" w:name="_GoBack"/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тань  запобігання  та протидії корупції Тетяну ГОРЧАКОВУ, контроль залишаю за собою.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ind w:firstLine="72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rPr>
          <w:rFonts w:eastAsia="Times New Roman" w:cs="Times New Roman"/>
          <w:color w:val="000000"/>
          <w:spacing w:val="-2"/>
          <w:sz w:val="28"/>
          <w:szCs w:val="28"/>
          <w:lang w:eastAsia="uk-UA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uk-UA"/>
        </w:rPr>
        <w:t>Міський голова                                                                               Олександр ШАПОВАЛ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318" w:after="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318" w:after="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318" w:after="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318" w:after="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ru-RU"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Autospacing="1" w:after="0"/>
        <w:ind w:left="5046" w:hanging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Додаток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ind w:left="5046" w:hanging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до розпорядження міського голови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ind w:left="5046" w:hanging="0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20.12.2024 №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>Р-180/06-34-24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>
      <w:pPr>
        <w:pStyle w:val="Normal"/>
        <w:suppressAutoHyphens w:val="false"/>
        <w:overflowPunct w:val="true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Я, ___________________________________________________________________________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bookmarkStart w:id="2" w:name="__DdeLink__67_2005331681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попереджений про необхідність подання декларації: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- декларація особи, яка припиняє діяльність (декларація “перед звільненням”)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не пізніше 30 робочих днів з дня припинення діяльності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, охоплює період, який не був охоплений деклараціями, раніше поданими;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- декларацію особи, яка припинала діяльність (декларація “після звільнення”)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до 01 квітня року, наступного за звітним роком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, у якому було припинено діяльність, охоплює звітний рік що передує року, в якому подається декларація.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Ознайомлений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зі статтею 26 ЗУ “Про запобігання корупції”, “Обмеження після припинення діяльності, пов’язаної з виконанням функцій держави, місцевого самоврядування:</w:t>
      </w:r>
    </w:p>
    <w:p>
      <w:pPr>
        <w:pStyle w:val="Normal"/>
        <w:suppressAutoHyphens w:val="false"/>
        <w:overflowPunct w:val="true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1. Особам, уповноваженим на виконання функцій держави або місцевого самоврядування, зазначеним у пункті 1 частини першої статті 3 цього Закону, які звільнилися або іншим чином припинили діяльність, пов’язану з виконанням функцій держави або місцевого самоврядування, забороняється: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1) протягом року з дня припинення відповідної діяльності укладати трудові договори (контракти) або вчиняти правочини у сфері підприємницької діяльності з юридичними особами приватного права або фізичними особами - підприємцями, якщо особи, зазначені в абзаці першому цієї частини, протягом року до дня припинення виконання функцій держави або місцевого самоврядування здійснювали повноваження з контролю, нагляду або підготовки чи прийняття відповідних рішень щодо діяльності цих юридичних осіб або фізичних осіб - підприємців;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2) розголошувати або використовувати в інший спосіб у своїх інтересах інформацію, яка стала їм відома у зв’язку з виконанням службових повноважень, крім випадків, встановлених законом;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3) протягом року з дня припинення відповідної діяльності представляти інтереси будь-якої особи у справах (у тому числі в тих, що розглядаються в судах), в яких іншою стороною є орган, підприємство, установа, організація, в якому (яких) вони працювали на момент припинення зазначеної діяльності.</w:t>
      </w:r>
    </w:p>
    <w:p>
      <w:pPr>
        <w:pStyle w:val="Normal"/>
        <w:suppressAutoHyphens w:val="false"/>
        <w:overflowPunct w:val="true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2. Порушення встановленого пунктом 1 частини першої цієї статті обмеження щодо укладення трудового договору (контракту) є підставою для припинення відповідного договору.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Правочини у сфері підприємницької діяльності, вчинені з порушенням вимог пункту 1 частини першої цієї статті, можуть бути визнані недійсними.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У разі виявлення порушень, передбачених частиною першою цієї статті, Національне агентство звертається до суду для припинення трудового договору (контракту), визнання правочину недійсним.</w:t>
      </w:r>
    </w:p>
    <w:p>
      <w:pPr>
        <w:pStyle w:val="Normal"/>
        <w:suppressAutoHyphens w:val="false"/>
        <w:overflowPunct w:val="true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Ознайомлений з передбаченою адміністративною/кримінальною відповідальністю.</w:t>
      </w:r>
    </w:p>
    <w:p>
      <w:pPr>
        <w:pStyle w:val="Normal"/>
        <w:suppressAutoHyphens w:val="false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____________202__р.                          ___________________                            __________________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Начальник відділу </w:t>
      </w:r>
    </w:p>
    <w:p>
      <w:pPr>
        <w:pStyle w:val="Normal"/>
        <w:shd w:val="clear" w:color="auto" w:fill="FFFFFF"/>
        <w:suppressAutoHyphens w:val="false"/>
        <w:overflowPunct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з питань запобігання та протидії корупції                                  Тетяна ГОРЧАКОВА</w:t>
      </w:r>
    </w:p>
    <w:sectPr>
      <w:headerReference w:type="default" r:id="rId3"/>
      <w:type w:val="nextPage"/>
      <w:pgSz w:w="12240" w:h="15840"/>
      <w:pgMar w:left="1440" w:right="624" w:gutter="0" w:header="397" w:top="1463" w:footer="0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widowControl/>
      <w:tabs>
        <w:tab w:val="clear" w:pos="5088"/>
        <w:tab w:val="clear" w:pos="10176"/>
        <w:tab w:val="center" w:pos="4844" w:leader="none"/>
        <w:tab w:val="right" w:pos="9689" w:leader="none"/>
      </w:tabs>
      <w:suppressAutoHyphens w:val="true"/>
      <w:bidi w:val="0"/>
      <w:spacing w:lineRule="auto" w:line="240" w:before="0" w:after="0"/>
      <w:ind w:left="5386" w:right="0" w:hanging="0"/>
      <w:rPr/>
    </w:pPr>
    <w:r>
      <w:rPr>
        <w:rFonts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ВТРАТИЛО ЧИННІСТЬ</w:t>
    </w:r>
    <w:r>
      <w:rPr>
        <w:rFonts w:cs="Liberation Serif;Times New Roman" w:ascii="Liberation Serif;Times New Roman" w:hAnsi="Liberation Serif;Times New Roman"/>
        <w:b/>
        <w:bCs/>
        <w:color w:val="C9211E"/>
        <w:sz w:val="20"/>
        <w:szCs w:val="20"/>
        <w:lang w:val="uk-UA"/>
      </w:rPr>
      <w:t xml:space="preserve"> </w:t>
    </w:r>
  </w:p>
  <w:p>
    <w:pPr>
      <w:pStyle w:val="Style26"/>
      <w:widowControl/>
      <w:tabs>
        <w:tab w:val="clear" w:pos="5088"/>
        <w:tab w:val="clear" w:pos="10176"/>
        <w:tab w:val="center" w:pos="4844" w:leader="none"/>
        <w:tab w:val="right" w:pos="9689" w:leader="none"/>
      </w:tabs>
      <w:suppressAutoHyphens w:val="true"/>
      <w:bidi w:val="0"/>
      <w:spacing w:lineRule="auto" w:line="240" w:before="0" w:after="0"/>
      <w:ind w:left="5386" w:right="0" w:hanging="0"/>
      <w:rPr>
        <w:rFonts w:ascii="Liberation Serif;Times New Roman" w:hAnsi="Liberation Serif;Times New Roman" w:cs="Liberation Serif;Times New Roman"/>
        <w:b/>
        <w:b/>
        <w:bCs/>
        <w:color w:val="C9211E"/>
        <w:sz w:val="20"/>
        <w:szCs w:val="20"/>
        <w:lang w:val="uk-UA"/>
      </w:rPr>
    </w:pPr>
    <w:r>
      <w:rPr>
        <w:rFonts w:cs="Liberation Serif;Times New Roman" w:ascii="Liberation Serif;Times New Roman" w:hAnsi="Liberation Serif;Times New Roman"/>
        <w:b/>
        <w:bCs/>
        <w:color w:val="C9211E"/>
        <w:sz w:val="20"/>
        <w:szCs w:val="20"/>
        <w:lang w:val="uk-UA"/>
      </w:rPr>
      <w:t>на підставі розпорядження міського голови</w:t>
    </w:r>
  </w:p>
  <w:p>
    <w:pPr>
      <w:pStyle w:val="Normal"/>
      <w:widowControl/>
      <w:suppressAutoHyphens w:val="true"/>
      <w:bidi w:val="0"/>
      <w:spacing w:lineRule="auto" w:line="240" w:before="0" w:after="0"/>
      <w:ind w:left="5386" w:right="0" w:hanging="0"/>
      <w:rPr/>
    </w:pP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№</w:t>
    </w: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Р-2</w:t>
    </w: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09</w:t>
    </w: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/06-34-25 від 1</w:t>
    </w: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5</w:t>
    </w:r>
    <w:r>
      <w:rPr>
        <w:rFonts w:eastAsia="Calibri" w:cs="Liberation Serif;Times New Roman" w:ascii="Liberation Serif;Times New Roman" w:hAnsi="Liberation Serif;Times New Roman"/>
        <w:b/>
        <w:bCs/>
        <w:color w:val="C9211E"/>
        <w:sz w:val="24"/>
        <w:szCs w:val="24"/>
        <w:lang w:val="uk-UA"/>
      </w:rPr>
      <w:t>.12.2025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rFonts w:ascii="Segoe UI" w:hAnsi="Segoe UI" w:cs="Segoe UI"/>
      <w:sz w:val="18"/>
      <w:szCs w:val="18"/>
      <w:lang w:val="uk-UA"/>
    </w:rPr>
  </w:style>
  <w:style w:type="character" w:styleId="Style14">
    <w:name w:val="Hyperlink"/>
    <w:rPr>
      <w:color w:val="000080"/>
      <w:u w:val="single"/>
    </w:rPr>
  </w:style>
  <w:style w:type="character" w:styleId="Style15" w:customStyle="1">
    <w:name w:val="Маркери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2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overflowPunct w:val="fals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0d4718"/>
    <w:pPr>
      <w:suppressAutoHyphens w:val="false"/>
      <w:overflowPunct w:val="true"/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Style25">
    <w:name w:val="Верхній і нижній колонтитули"/>
    <w:basedOn w:val="Normal"/>
    <w:qFormat/>
    <w:pPr>
      <w:suppressLineNumbers/>
      <w:tabs>
        <w:tab w:val="clear" w:pos="720"/>
        <w:tab w:val="center" w:pos="5088" w:leader="none"/>
        <w:tab w:val="right" w:pos="10176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LibreOffice/7.4.3.2$Windows_X86_64 LibreOffice_project/1048a8393ae2eeec98dff31b5c133c5f1d08b890</Application>
  <AppVersion>15.0000</AppVersion>
  <Pages>5</Pages>
  <Words>1181</Words>
  <Characters>8345</Characters>
  <CharactersWithSpaces>9781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2024-12-18T14:51:00Z</dcterms:created>
  <dc:creator>Sivers, Robert</dc:creator>
  <dc:description/>
  <dc:language>uk-UA</dc:language>
  <cp:lastModifiedBy/>
  <cp:lastPrinted>2024-12-19T08:18:00Z</cp:lastPrinted>
  <dcterms:modified xsi:type="dcterms:W3CDTF">2025-12-22T10:35:12Z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