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rFonts w:eastAsia="Liberation Serif"/>
          <w:b/>
          <w:bCs/>
          <w:sz w:val="28"/>
          <w:szCs w:val="28"/>
        </w:rPr>
        <w:t xml:space="preserve"> </w:t>
      </w:r>
      <w:r>
        <w:rPr>
          <w:rFonts w:eastAsia="Liberation Serif"/>
          <w:b/>
          <w:bCs/>
          <w:sz w:val="28"/>
          <w:szCs w:val="28"/>
          <w:lang w:val="uk-UA"/>
        </w:rPr>
        <w:t>копія</w:t>
      </w:r>
      <w:r>
        <w:rPr>
          <w:b/>
          <w:bCs/>
          <w:sz w:val="28"/>
          <w:szCs w:val="28"/>
        </w:rPr>
        <w:t xml:space="preserve"> </w:t>
      </w:r>
    </w:p>
    <w:p>
      <w:pPr>
        <w:pStyle w:val="Style18"/>
        <w:spacing w:before="0" w:after="0"/>
        <w:jc w:val="center"/>
        <w:rPr/>
      </w:pP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0" distT="0" distB="0" distL="0" distR="0" simplePos="0" locked="0" layoutInCell="0" allowOverlap="1" relativeHeight="3">
                <wp:simplePos x="0" y="0"/>
                <wp:positionH relativeFrom="column">
                  <wp:posOffset>16510</wp:posOffset>
                </wp:positionH>
                <wp:positionV relativeFrom="paragraph">
                  <wp:posOffset>143510</wp:posOffset>
                </wp:positionV>
                <wp:extent cx="6334125" cy="2921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33480" cy="208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1.3pt" to="499.95pt,12.9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РІШЕННЯ</w:t>
      </w:r>
    </w:p>
    <w:p>
      <w:pPr>
        <w:pStyle w:val="Style18"/>
        <w:spacing w:before="0" w:after="0"/>
        <w:jc w:val="center"/>
        <w:rPr>
          <w:b/>
          <w:b/>
          <w:sz w:val="28"/>
          <w:szCs w:val="28"/>
        </w:rPr>
      </w:pPr>
      <w:r>
        <w:rPr>
          <w:b/>
          <w:sz w:val="28"/>
          <w:szCs w:val="28"/>
        </w:rPr>
      </w:r>
    </w:p>
    <w:p>
      <w:pPr>
        <w:pStyle w:val="21"/>
        <w:ind w:hanging="0"/>
        <w:jc w:val="left"/>
        <w:rPr/>
      </w:pPr>
      <w:r>
        <w:rPr>
          <w:rFonts w:eastAsia="Times New Roman" w:cs="Times New Roman"/>
          <w:color w:val="00000A"/>
          <w:kern w:val="0"/>
          <w:sz w:val="28"/>
          <w:szCs w:val="28"/>
          <w:lang w:val="uk-UA" w:eastAsia="zh-CN" w:bidi="ar-SA"/>
        </w:rPr>
        <w:t>26.03.2021</w:t>
      </w:r>
      <w:r>
        <w:rPr>
          <w:sz w:val="28"/>
          <w:szCs w:val="28"/>
        </w:rPr>
        <w:t xml:space="preserve">                                            м.Покров                            </w:t>
        <w:tab/>
        <w:t xml:space="preserve">                № </w:t>
      </w:r>
      <w:r>
        <w:rPr>
          <w:sz w:val="28"/>
          <w:szCs w:val="28"/>
        </w:rPr>
        <w:t>16</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(5 сесія  8 скликання)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200"/>
        <w:ind w:right="-1"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40" w:before="0" w:after="200"/>
        <w:ind w:right="-1" w:hanging="0"/>
        <w:contextualSpacing/>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ind w:right="57" w:firstLine="709"/>
        <w:jc w:val="both"/>
        <w:rPr/>
      </w:pPr>
      <w:r>
        <w:rPr>
          <w:rFonts w:ascii="Times New Roman" w:hAnsi="Times New Roman"/>
          <w:sz w:val="28"/>
          <w:szCs w:val="28"/>
        </w:rPr>
        <w:t xml:space="preserve">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та враховуючи  службову  відділу землекористування про </w:t>
      </w:r>
      <w:r>
        <w:rPr>
          <w:rFonts w:eastAsia="Calibri" w:cs="Times New Roman" w:ascii="Times New Roman" w:hAnsi="Times New Roman"/>
          <w:color w:val="00000A"/>
          <w:kern w:val="0"/>
          <w:sz w:val="28"/>
          <w:szCs w:val="28"/>
          <w:lang w:val="uk-UA" w:eastAsia="zh-CN" w:bidi="ar-SA"/>
        </w:rPr>
        <w:t xml:space="preserve">необхідність привести у відповідність до діючого законодавства адміністративні послуги, які надає відділ землекористування через  </w:t>
      </w:r>
      <w:r>
        <w:rPr>
          <w:rFonts w:eastAsia="Calibri" w:cs="Times New Roman" w:ascii="Times New Roman" w:hAnsi="Times New Roman"/>
          <w:b w:val="false"/>
          <w:bCs w:val="false"/>
          <w:color w:val="00000A"/>
          <w:kern w:val="0"/>
          <w:sz w:val="28"/>
          <w:szCs w:val="28"/>
          <w:lang w:val="uk-UA" w:eastAsia="zh-CN" w:bidi="ar-SA"/>
        </w:rPr>
        <w:t>Центр надання адміністративних послуг виконавчого комітету Покровської міської ради</w:t>
      </w:r>
      <w:r>
        <w:rPr>
          <w:rFonts w:ascii="Times New Roman" w:hAnsi="Times New Roman"/>
          <w:sz w:val="28"/>
          <w:szCs w:val="28"/>
        </w:rPr>
        <w:t>, міська  рада</w:t>
      </w:r>
    </w:p>
    <w:p>
      <w:pPr>
        <w:pStyle w:val="Normal"/>
        <w:spacing w:lineRule="auto" w:line="240"/>
        <w:ind w:right="57" w:hanging="0"/>
        <w:rPr/>
      </w:pPr>
      <w:r>
        <w:rPr>
          <w:rFonts w:ascii="Times New Roman" w:hAnsi="Times New Roman"/>
          <w:b/>
          <w:sz w:val="28"/>
          <w:szCs w:val="28"/>
        </w:rPr>
        <w:t>ВИРІШИЛА:</w:t>
      </w:r>
    </w:p>
    <w:p>
      <w:pPr>
        <w:pStyle w:val="Normal"/>
        <w:widowControl/>
        <w:suppressAutoHyphens w:val="true"/>
        <w:bidi w:val="0"/>
        <w:spacing w:lineRule="auto" w:line="240" w:before="0" w:after="0"/>
        <w:ind w:left="0" w:right="57" w:firstLine="624"/>
        <w:jc w:val="both"/>
        <w:rPr/>
      </w:pP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Style23"/>
        <w:widowControl/>
        <w:tabs>
          <w:tab w:val="clear" w:pos="709"/>
          <w:tab w:val="left" w:pos="0" w:leader="none"/>
        </w:tabs>
        <w:suppressAutoHyphens w:val="true"/>
        <w:bidi w:val="0"/>
        <w:spacing w:lineRule="auto" w:line="240" w:before="0" w:after="0"/>
        <w:ind w:left="0" w:right="0" w:firstLine="567"/>
        <w:contextualSpacing/>
        <w:jc w:val="both"/>
        <w:rPr/>
      </w:pPr>
      <w:r>
        <w:rPr>
          <w:rFonts w:ascii="Times New Roman" w:hAnsi="Times New Roman"/>
          <w:sz w:val="28"/>
          <w:szCs w:val="28"/>
          <w:lang w:val="uk-UA"/>
        </w:rPr>
        <w:t>2.Рішення сесії 58 сесії міської ради 7 скликання від 26.06.2020 №16 вважати таким, що втратило чинність.</w:t>
      </w:r>
    </w:p>
    <w:p>
      <w:pPr>
        <w:pStyle w:val="Style23"/>
        <w:widowControl/>
        <w:tabs>
          <w:tab w:val="clear" w:pos="709"/>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3.Координацію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3"/>
        <w:tabs>
          <w:tab w:val="clear" w:pos="709"/>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3"/>
        <w:tabs>
          <w:tab w:val="clear" w:pos="709"/>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3"/>
        <w:tabs>
          <w:tab w:val="clear" w:pos="709"/>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w:t>
        <w:tab/>
        <w:tab/>
        <w:tab/>
        <w:tab/>
        <w:tab/>
        <w:tab/>
        <w:tab/>
        <w:tab/>
        <w:tab/>
        <w:t>О.М. Шаповал</w:t>
      </w:r>
    </w:p>
    <w:p>
      <w:pPr>
        <w:pStyle w:val="Style23"/>
        <w:tabs>
          <w:tab w:val="clear" w:pos="709"/>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sectPr>
          <w:type w:val="nextPage"/>
          <w:pgSz w:w="11906" w:h="16838"/>
          <w:pgMar w:left="1134" w:right="850" w:header="0" w:top="851" w:footer="0" w:bottom="709" w:gutter="0"/>
          <w:pgNumType w:fmt="decimal"/>
          <w:formProt w:val="false"/>
          <w:textDirection w:val="lrTb"/>
          <w:docGrid w:type="default" w:linePitch="360" w:charSpace="4096"/>
        </w:sectPr>
        <w:pStyle w:val="Style23"/>
        <w:tabs>
          <w:tab w:val="clear" w:pos="709"/>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Клочковська,42031</w:t>
      </w:r>
      <w:bookmarkEnd w:id="1"/>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ab/>
        <w:t>Рішення  5  сесії  міської ради</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 xml:space="preserve">26 березня 2021 року     № </w:t>
      </w:r>
      <w:r>
        <w:rPr>
          <w:rFonts w:ascii="Times New Roman" w:hAnsi="Times New Roman"/>
          <w:color w:val="000000"/>
          <w:sz w:val="24"/>
          <w:szCs w:val="24"/>
          <w:lang w:val="uk-UA" w:eastAsia="en-US"/>
        </w:rPr>
        <w:t>16</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spacing w:lineRule="auto" w:line="240" w:before="0" w:after="0"/>
        <w:ind w:left="720" w:right="0" w:hanging="284"/>
        <w:contextualSpacing/>
        <w:jc w:val="center"/>
        <w:rPr>
          <w:rFonts w:ascii="Times New Roman" w:hAnsi="Times New Roman"/>
          <w:color w:val="000000"/>
          <w:sz w:val="24"/>
          <w:szCs w:val="24"/>
          <w:lang w:val="uk-UA" w:eastAsia="en-US"/>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p>
    <w:p>
      <w:pPr>
        <w:pStyle w:val="Normal"/>
        <w:spacing w:lineRule="auto" w:line="240" w:before="0" w:after="0"/>
        <w:ind w:left="720" w:right="0" w:hanging="284"/>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575" w:type="dxa"/>
        <w:jc w:val="left"/>
        <w:tblInd w:w="-352" w:type="dxa"/>
        <w:tblLayout w:type="fixed"/>
        <w:tblCellMar>
          <w:top w:w="0" w:type="dxa"/>
          <w:left w:w="103" w:type="dxa"/>
          <w:bottom w:w="0" w:type="dxa"/>
          <w:right w:w="108" w:type="dxa"/>
        </w:tblCellMar>
      </w:tblPr>
      <w:tblGrid>
        <w:gridCol w:w="616"/>
        <w:gridCol w:w="1471"/>
        <w:gridCol w:w="8488"/>
      </w:tblGrid>
      <w:tr>
        <w:trPr>
          <w:trHeight w:val="141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709"/>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01-2</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709"/>
                <w:tab w:val="center" w:pos="4153" w:leader="none"/>
                <w:tab w:val="right" w:pos="8306" w:leader="none"/>
              </w:tabs>
              <w:ind w:left="0" w:right="0" w:hanging="0"/>
              <w:rPr>
                <w:color w:val="000000"/>
                <w:sz w:val="24"/>
                <w:lang w:eastAsia="uk-UA" w:bidi="uk-UA"/>
              </w:rPr>
            </w:pPr>
            <w:r>
              <w:rPr>
                <w:color w:val="000000"/>
                <w:sz w:val="24"/>
                <w:lang w:eastAsia="uk-UA" w:bidi="uk-UA"/>
              </w:rPr>
              <w:t>Оформлення паспорта прив'язки тимчасової споруди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tabs>
                <w:tab w:val="clear" w:pos="709"/>
                <w:tab w:val="center" w:pos="4153" w:leader="none"/>
                <w:tab w:val="right" w:pos="8306" w:leader="none"/>
              </w:tabs>
              <w:ind w:left="0" w:right="0" w:hanging="0"/>
              <w:rPr>
                <w:color w:val="000000"/>
                <w:sz w:val="24"/>
                <w:lang w:eastAsia="uk-UA" w:bidi="uk-UA"/>
              </w:rPr>
            </w:pPr>
            <w:r>
              <w:rPr>
                <w:color w:val="000000"/>
                <w:sz w:val="24"/>
                <w:lang w:eastAsia="uk-UA" w:bidi="uk-UA"/>
              </w:rPr>
              <w:t>Присвоєння  або зміна адреси об’єкта будівництва, об’єкта нерухомого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Надання висновку до землевпорядної документації замовника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01-5</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Надання дозволу на розміщення зовнішньої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01-6</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709"/>
                <w:tab w:val="left" w:pos="390" w:leader="none"/>
                <w:tab w:val="left" w:pos="510" w:leader="none"/>
                <w:tab w:val="center" w:pos="4153" w:leader="none"/>
                <w:tab w:val="right" w:pos="8306" w:leader="none"/>
              </w:tabs>
              <w:ind w:left="0" w:right="0" w:hanging="0"/>
              <w:rPr>
                <w:color w:val="000000"/>
                <w:sz w:val="24"/>
                <w:lang w:eastAsia="uk-UA" w:bidi="uk-UA"/>
              </w:rPr>
            </w:pPr>
            <w:r>
              <w:rPr>
                <w:color w:val="000000"/>
                <w:sz w:val="24"/>
                <w:lang w:eastAsia="uk-UA" w:bidi="uk-UA"/>
              </w:rPr>
              <w:t>Надання 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01-7</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01-8</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709"/>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01-9</w:t>
            </w:r>
          </w:p>
        </w:tc>
        <w:tc>
          <w:tcPr>
            <w:tcW w:w="8488"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01-10</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bCs/>
                <w:color w:val="000000"/>
                <w:sz w:val="24"/>
                <w:szCs w:val="24"/>
                <w:highlight w:val="white"/>
                <w:lang w:eastAsia="uk-UA" w:bidi="uk-UA"/>
              </w:rPr>
            </w:pPr>
            <w:r>
              <w:rPr>
                <w:rFonts w:eastAsia="Times New Roman" w:cs="Times New Roman" w:ascii="Times New Roman" w:hAnsi="Times New Roman"/>
                <w:bCs/>
                <w:color w:val="000000"/>
                <w:sz w:val="24"/>
                <w:szCs w:val="24"/>
                <w:highlight w:val="white"/>
                <w:lang w:eastAsia="uk-UA" w:bidi="uk-UA"/>
              </w:rPr>
              <w:t>Внесення змін до декларації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01-11</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Подання повідомлення про початок виконання будівельних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01-12</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Внесення змін до повідомлення про початок виконання будівельних робіт</w:t>
            </w:r>
          </w:p>
        </w:tc>
      </w:tr>
      <w:tr>
        <w:trPr>
          <w:trHeight w:val="64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01-13</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14</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0" w:leader="none"/>
              </w:tabs>
              <w:spacing w:lineRule="auto" w:line="240" w:before="0" w:after="0"/>
              <w:contextualSpacing/>
              <w:jc w:val="both"/>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Внесення змін до декларації про початок виконання будівельних робіт</w:t>
            </w:r>
          </w:p>
          <w:p>
            <w:pPr>
              <w:pStyle w:val="Normal"/>
              <w:widowControl w:val="false"/>
              <w:tabs>
                <w:tab w:val="clear" w:pos="709"/>
                <w:tab w:val="left" w:pos="0" w:leader="none"/>
              </w:tabs>
              <w:spacing w:lineRule="auto" w:line="240" w:before="0" w:after="0"/>
              <w:contextualSpacing/>
              <w:jc w:val="both"/>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r>
          </w:p>
        </w:tc>
      </w:tr>
      <w:tr>
        <w:trPr>
          <w:trHeight w:val="506"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15</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color w:val="000000"/>
                <w:sz w:val="24"/>
                <w:szCs w:val="24"/>
                <w:lang w:val="uk-UA" w:eastAsia="en-US"/>
              </w:rPr>
            </w:pPr>
            <w:r>
              <w:rPr>
                <w:rFonts w:eastAsia="Times New Roman" w:cs="Times New Roman" w:ascii="Times New Roman" w:hAnsi="Times New Roman"/>
                <w:sz w:val="24"/>
                <w:szCs w:val="24"/>
                <w:lang w:eastAsia="uk-UA" w:bidi="uk-UA"/>
              </w:rPr>
              <w:t>Видача дозволу на виконання будівельних робіт</w:t>
            </w:r>
          </w:p>
        </w:tc>
      </w:tr>
      <w:tr>
        <w:trPr>
          <w:trHeight w:val="611"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16</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Зміна даних у виданому дозволі на виконання будівельних робіт</w:t>
            </w:r>
          </w:p>
        </w:tc>
      </w:tr>
      <w:tr>
        <w:trPr>
          <w:trHeight w:val="509"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17</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Анулювання дозволу на виконання будівельних робіт за заявою</w:t>
            </w:r>
          </w:p>
        </w:tc>
      </w:tr>
      <w:tr>
        <w:trPr>
          <w:trHeight w:val="510"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18</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Реєстрація декларації про готовність об'єкта до експлуатації</w:t>
            </w:r>
          </w:p>
        </w:tc>
      </w:tr>
      <w:tr>
        <w:trPr>
          <w:trHeight w:val="761"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19</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trPr>
          <w:trHeight w:val="512"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20</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01-20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Внесення змін до декларації про готовність об'єкта до експлуатації</w:t>
            </w:r>
          </w:p>
        </w:tc>
      </w:tr>
      <w:tr>
        <w:trPr>
          <w:trHeight w:val="1022" w:hRule="atLeast"/>
        </w:trPr>
        <w:tc>
          <w:tcPr>
            <w:tcW w:w="616"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21</w:t>
            </w:r>
          </w:p>
        </w:tc>
        <w:tc>
          <w:tcPr>
            <w:tcW w:w="1471" w:type="dxa"/>
            <w:tcBorders>
              <w:top w:val="single" w:sz="4" w:space="0" w:color="000001"/>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01-21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142" w:leader="none"/>
                <w:tab w:val="left" w:pos="6606" w:leader="none"/>
                <w:tab w:val="left" w:pos="8147" w:leader="none"/>
              </w:tabs>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trPr>
          <w:trHeight w:val="267" w:hRule="atLeast"/>
        </w:trPr>
        <w:tc>
          <w:tcPr>
            <w:tcW w:w="616" w:type="dxa"/>
            <w:tcBorders>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22</w:t>
            </w:r>
          </w:p>
        </w:tc>
        <w:tc>
          <w:tcPr>
            <w:tcW w:w="1471" w:type="dxa"/>
            <w:tcBorders>
              <w:left w:val="single" w:sz="4" w:space="0" w:color="000001"/>
              <w:bottom w:val="single" w:sz="4" w:space="0" w:color="000001"/>
            </w:tcBorders>
            <w:shd w:fill="auto" w:val="clear"/>
          </w:tcPr>
          <w:p>
            <w:pPr>
              <w:pStyle w:val="Style23"/>
              <w:widowControl w:val="false"/>
              <w:tabs>
                <w:tab w:val="clear" w:pos="709"/>
                <w:tab w:val="left" w:pos="0" w:leader="none"/>
              </w:tabs>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01-22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sz w:val="24"/>
                <w:szCs w:val="24"/>
                <w:lang w:eastAsia="uk-UA" w:bidi="uk-UA"/>
              </w:rPr>
              <w:t xml:space="preserve"> </w:t>
            </w:r>
            <w:r>
              <w:rPr>
                <w:rFonts w:eastAsia="Times New Roman" w:cs="Times New Roman" w:ascii="Times New Roman" w:hAnsi="Times New Roman"/>
                <w:sz w:val="24"/>
                <w:szCs w:val="24"/>
                <w:lang w:eastAsia="uk-UA" w:bidi="uk-UA"/>
              </w:rPr>
              <w:t>В</w:t>
            </w:r>
            <w:bookmarkStart w:id="3" w:name="_GoBack31"/>
            <w:bookmarkEnd w:id="3"/>
            <w:r>
              <w:rPr>
                <w:rFonts w:eastAsia="Times New Roman" w:cs="Times New Roman" w:ascii="Times New Roman" w:hAnsi="Times New Roman"/>
                <w:sz w:val="24"/>
                <w:szCs w:val="24"/>
                <w:lang w:eastAsia="uk-UA" w:bidi="uk-UA"/>
              </w:rPr>
              <w:t>идача сертифіката про прийняття в експлуатацію закінченого будівництвом об’єкта</w:t>
            </w:r>
          </w:p>
        </w:tc>
      </w:tr>
      <w:tr>
        <w:trPr>
          <w:trHeight w:val="36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02  Відділ землекористування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23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24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25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848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16" w:before="0" w:after="200"/>
              <w:ind w:left="-76" w:right="0" w:hanging="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26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27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28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29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ind w:left="-81" w:right="0" w:hanging="0"/>
              <w:contextualSpacing/>
              <w:jc w:val="both"/>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ind w:left="-81" w:right="0" w:hanging="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36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39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s="Times New Roman"/>
                <w:color w:val="000000"/>
                <w:sz w:val="24"/>
                <w:szCs w:val="24"/>
                <w:lang w:eastAsia="uk-UA"/>
              </w:rPr>
            </w:pPr>
            <w:bookmarkStart w:id="4" w:name="n133"/>
            <w:bookmarkEnd w:id="4"/>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іншого (відмінного від права власності)речового права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49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50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  та їх обтяжень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51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52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права власності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53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54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3"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55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ind w:left="0" w:right="0" w:hanging="16"/>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56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проживання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57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Зняття з реєстрації місця проживання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58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59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60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61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62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63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64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ind w:left="-108" w:righ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65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66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67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68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69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olor w:val="000000"/>
                <w:sz w:val="24"/>
                <w:szCs w:val="24"/>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субсидій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пільг на придбання твердого палива і скрапленого газу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Виплата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особі подання про можливість призначення її опікуном або піклувальником повнолітньої недієздатної особи або особи,цивільна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79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дозволу опікуну на вчинення правочинів щодо відмови від майнових прав підопічного;видання письмових зобов’язань від імені підопічного;укладення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 xml:space="preserve">Видача дозволу піклувальнику </w:t>
            </w:r>
            <w:r>
              <w:rPr>
                <w:rFonts w:cs="Times New Roman" w:ascii="Times New Roman" w:hAnsi="Times New Roman"/>
                <w:color w:val="000000"/>
                <w:sz w:val="24"/>
                <w:szCs w:val="24"/>
                <w:lang w:eastAsia="en-US"/>
              </w:rPr>
              <w:t>для надання згоди підопічній повнолітній особі,дієздатність якої обмежена, на вчинення правочину щодо:відмови від майнових прав підопічного;видання письмових зобов’язань від імені підопічного; укладення договорів,які підлягають нотаріальному посвідченню та (або)державній реєстрації, в тому числі договорів щодо поділу або обміну житлового будинку,квартири;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малозабезпеченим сім’ям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у зв’язку з вагітністю та пологами особам, які не застраховані в системі загальнообов’язкового держвного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при усиновленні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на дітей одиноким матерям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на дітей, над якими встановлено опіку чи піклувння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надбавки на догляд за особами з інвалідністю з дитинства та дітьми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89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 допомоги особам, які не мають право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Компенсаційна виплата фізичній особі, яка надає соціальні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щомісячної грошової допомоги особі,яка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одноразової матеріальної допомоги особам з інвалідністю та дітям з інвалідністю</w:t>
            </w:r>
          </w:p>
        </w:tc>
      </w:tr>
      <w:tr>
        <w:trPr>
          <w:trHeight w:val="2761"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та виплата одноразової компенсації сім’ям, яківратили годувальника із числа осіб, віднесених до учасників ліквідації аварії Чорнобильської АЕС, смерть яких пов’язана  з  Чорнобильською катастрофою, та учасників ліквідації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міських,районних, районних у мм.Києві та Севастополі держадміністрацій,виконавчих органів міських, районних у містах (у разі їх утворення) рад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на проходження обласної, центральної міської у мм.Києві та Севастополі медико-соціальної експертної комісії для взяття на облік для забезпечення осіб з інвалідністю автомобілями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99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r>
      <w:tr>
        <w:trPr>
          <w:trHeight w:val="100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війні і праці,психоневрологічного інтернату, дитячого будинку – інтернату або молодіжного відділення дитячого будинку-інтернату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Установлення статусу, видача посвідчень батькам багатодітної сім’ї та дитини з багатодітної сім’ї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посвідчення особам, які постраждали внаслідок Чорнобильської катастрофи, та іншим категоріям громадян</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103</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члена сім’ї загиблого ветерана війни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104</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учасника війни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105</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особи з інвалідністю внаслідок війни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106</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посвідчення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107</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особі,яка доглядає за хворою дитиною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108</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1,2 та 3, дітям, потерпілим від Чорнобильської катастрофи, дітям з інвалідністю внаслідок Чорнобильської катастрофи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109</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Надання державної допомоги на дітей, які виховуються у багатодітних сім’ях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110</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trPr/>
        <w:tc>
          <w:tcPr>
            <w:tcW w:w="1057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111</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57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rPr>
              <w:t>112</w:t>
            </w:r>
          </w:p>
        </w:tc>
        <w:tc>
          <w:tcPr>
            <w:tcW w:w="1471"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11-1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119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eastAsia="Calibri" w:cs="Times New Roman"/>
                <w:color w:val="00000A"/>
                <w:kern w:val="0"/>
                <w:sz w:val="24"/>
                <w:szCs w:val="24"/>
                <w:lang w:val="uk-UA" w:eastAsia="zh-CN" w:bidi="ar-SA"/>
              </w:rPr>
            </w:pPr>
            <w:r>
              <w:rPr>
                <w:rFonts w:eastAsia="Calibri" w:cs="Times New Roman" w:ascii="Times New Roman" w:hAnsi="Times New Roman"/>
                <w:color w:val="00000A"/>
                <w:kern w:val="0"/>
                <w:sz w:val="24"/>
                <w:szCs w:val="24"/>
                <w:lang w:val="uk-UA" w:eastAsia="zh-CN" w:bidi="ar-SA"/>
              </w:rPr>
              <w:t>125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з державної статистичної звітності про наявність земель та розподіл їх за власниками земель, землекористувачами, угіддями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129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bookmarkStart w:id="5"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12-18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13-1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t>133</w:t>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
            <w:bookmarkEnd w:id="7"/>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139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реєстрація </w:t>
            </w:r>
            <w:bookmarkStart w:id="8" w:name="n12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149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bookmarkStart w:id="9"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14-19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159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ind w:left="720" w:right="-284" w:hanging="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14-29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169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14-39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179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14-49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14-55</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189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14-56</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14-57</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14-58</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192</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14-59</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193</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14-60</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194</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14-61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195</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14-62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
            <w:bookmarkEnd w:id="11"/>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196</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14-63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olor w:val="000000"/>
                <w:sz w:val="24"/>
                <w:szCs w:val="24"/>
                <w:lang w:val="uk-UA" w:eastAsia="en-US"/>
              </w:rPr>
            </w:pPr>
            <w:bookmarkStart w:id="12"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3" w:name="n1321"/>
            <w:bookmarkEnd w:id="13"/>
            <w:r>
              <w:rPr>
                <w:rFonts w:cs="Times New Roman" w:ascii="Times New Roman" w:hAnsi="Times New Roman"/>
                <w:sz w:val="24"/>
                <w:szCs w:val="24"/>
                <w:lang w:eastAsia="uk-UA"/>
              </w:rPr>
              <w:t>про припинення структурного утворення політичної партії</w:t>
            </w:r>
            <w:bookmarkEnd w:id="12"/>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197</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198</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olor w:val="000000"/>
                <w:sz w:val="24"/>
                <w:szCs w:val="24"/>
                <w:lang w:val="uk-UA" w:eastAsia="en-U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199</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200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201</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olor w:val="000000"/>
                <w:sz w:val="24"/>
                <w:szCs w:val="24"/>
                <w:lang w:val="uk-UA" w:eastAsia="en-US"/>
              </w:rPr>
            </w:pPr>
            <w:r>
              <w:rPr>
                <w:rFonts w:cs="Times New Roman" w:ascii="Times New Roman" w:hAnsi="Times New Roman"/>
                <w:sz w:val="24"/>
                <w:szCs w:val="24"/>
              </w:rPr>
              <w:t>200</w:t>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8488"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olor w:val="000000"/>
                <w:sz w:val="24"/>
                <w:szCs w:val="24"/>
                <w:lang w:val="uk-UA" w:eastAsia="en-US"/>
              </w:rPr>
            </w:pPr>
            <w:r>
              <w:rPr>
                <w:rFonts w:cs="Times New Roman" w:ascii="Times New Roman" w:hAnsi="Times New Roman"/>
                <w:sz w:val="24"/>
                <w:szCs w:val="24"/>
              </w:rPr>
              <w:t>202</w:t>
            </w:r>
          </w:p>
        </w:tc>
        <w:tc>
          <w:tcPr>
            <w:tcW w:w="9959"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2"/>
              </w:numPr>
              <w:spacing w:lineRule="auto" w:line="216" w:before="140" w:after="120"/>
              <w:contextualSpacing/>
              <w:jc w:val="center"/>
              <w:rPr>
                <w:rFonts w:ascii="Times New Roman" w:hAnsi="Times New Roman"/>
                <w:color w:val="000000"/>
                <w:sz w:val="24"/>
                <w:szCs w:val="24"/>
                <w:lang w:val="uk-UA" w:eastAsia="en-US"/>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olor w:val="000000"/>
                <w:sz w:val="24"/>
                <w:szCs w:val="24"/>
                <w:lang w:val="uk-UA" w:eastAsia="en-US"/>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tabs>
                <w:tab w:val="clear" w:pos="709"/>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tabs>
                <w:tab w:val="clear" w:pos="709"/>
                <w:tab w:val="center" w:pos="4153" w:leader="none"/>
                <w:tab w:val="right" w:pos="8306" w:leader="none"/>
              </w:tabs>
              <w:spacing w:lineRule="auto" w:line="216" w:before="75" w:after="75"/>
              <w:contextualSpacing/>
              <w:jc w:val="both"/>
              <w:rPr>
                <w:color w:val="000000"/>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3</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tabs>
                <w:tab w:val="clear" w:pos="709"/>
                <w:tab w:val="center" w:pos="4153" w:leader="none"/>
                <w:tab w:val="right" w:pos="8306" w:leader="none"/>
              </w:tabs>
              <w:spacing w:lineRule="auto" w:line="216" w:before="75" w:after="75"/>
              <w:contextualSpacing/>
              <w:jc w:val="both"/>
              <w:rPr>
                <w:color w:val="000000"/>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4</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8488"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5</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75" w:after="75"/>
              <w:contextualSpacing/>
              <w:jc w:val="both"/>
              <w:rPr>
                <w:color w:val="000000"/>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6</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75" w:after="75"/>
              <w:contextualSpacing/>
              <w:jc w:val="both"/>
              <w:rPr>
                <w:color w:val="000000"/>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71"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7</w:t>
            </w:r>
          </w:p>
        </w:tc>
        <w:tc>
          <w:tcPr>
            <w:tcW w:w="8488"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75" w:after="75"/>
              <w:contextualSpacing/>
              <w:jc w:val="both"/>
              <w:rPr>
                <w:color w:val="000000"/>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both"/>
        <w:rPr>
          <w:rFonts w:ascii="Times New Roman" w:hAnsi="Times New Roman"/>
          <w:sz w:val="20"/>
          <w:szCs w:val="20"/>
          <w:lang w:val="uk-UA"/>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7"/>
    <w:next w:val="Style18"/>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1">
    <w:name w:val="Основной шрифт абзаца1"/>
    <w:qFormat/>
    <w:rPr/>
  </w:style>
  <w:style w:type="character" w:styleId="2">
    <w:name w:val="Основной текст 2 Знак"/>
    <w:qFormat/>
    <w:rPr>
      <w:rFonts w:eastAsia="Andale Sans UI"/>
      <w:kern w:val="2"/>
      <w:szCs w:val="24"/>
      <w:lang w:eastAsia="zxx"/>
    </w:rPr>
  </w:style>
  <w:style w:type="character" w:styleId="Style14">
    <w:name w:val="Текст выноски Знак"/>
    <w:qFormat/>
    <w:rPr>
      <w:rFonts w:ascii="Segoe UI" w:hAnsi="Segoe UI" w:eastAsia="Segoe UI"/>
      <w:kern w:val="2"/>
      <w:sz w:val="18"/>
      <w:szCs w:val="18"/>
      <w:lang w:val="zxx"/>
    </w:rPr>
  </w:style>
  <w:style w:type="character" w:styleId="5">
    <w:name w:val="Основной шрифт абзаца5"/>
    <w:qFormat/>
    <w:rPr/>
  </w:style>
  <w:style w:type="character" w:styleId="Style15">
    <w:name w:val="Основной шрифт абзаца"/>
    <w:qFormat/>
    <w:rPr/>
  </w:style>
  <w:style w:type="character" w:styleId="Style16">
    <w:name w:val="Шрифт абзацу за промовчанням"/>
    <w:qFormat/>
    <w:rPr/>
  </w:style>
  <w:style w:type="paragraph" w:styleId="Style17" w:customStyle="1">
    <w:name w:val="Заголовок"/>
    <w:basedOn w:val="Normal"/>
    <w:next w:val="Style18"/>
    <w:qFormat/>
    <w:rsid w:val="00af532c"/>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af532c"/>
    <w:pPr/>
    <w:rPr>
      <w:rFonts w:cs="Arial"/>
    </w:rPr>
  </w:style>
  <w:style w:type="paragraph" w:styleId="Style20" w:customStyle="1">
    <w:name w:val="Caption"/>
    <w:basedOn w:val="Normal"/>
    <w:qFormat/>
    <w:rsid w:val="00af532c"/>
    <w:pPr>
      <w:suppressLineNumbers/>
      <w:spacing w:before="120" w:after="120"/>
    </w:pPr>
    <w:rPr>
      <w:rFonts w:cs="Arial"/>
      <w:i/>
      <w:iCs/>
      <w:sz w:val="24"/>
      <w:szCs w:val="24"/>
    </w:rPr>
  </w:style>
  <w:style w:type="paragraph" w:styleId="Style21" w:customStyle="1">
    <w:name w:val="Покажчик"/>
    <w:basedOn w:val="Normal"/>
    <w:qFormat/>
    <w:rsid w:val="00af532c"/>
    <w:pPr>
      <w:suppressLineNumbers/>
    </w:pPr>
    <w:rPr>
      <w:rFonts w:cs="Arial"/>
    </w:rPr>
  </w:style>
  <w:style w:type="paragraph" w:styleId="Style22">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3"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4">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11">
    <w:name w:val="Название объекта1"/>
    <w:basedOn w:val="Normal"/>
    <w:qFormat/>
    <w:pPr>
      <w:spacing w:before="120" w:after="120"/>
    </w:pPr>
    <w:rPr>
      <w:rFonts w:eastAsia="Tahoma"/>
      <w:i/>
      <w:iCs/>
      <w:lang w:eastAsia="ar-SA"/>
    </w:rPr>
  </w:style>
  <w:style w:type="paragraph" w:styleId="22">
    <w:name w:val="Основной текст 22"/>
    <w:basedOn w:val="Normal"/>
    <w:qFormat/>
    <w:pPr>
      <w:spacing w:lineRule="auto" w:line="480" w:before="0" w:after="120"/>
    </w:pPr>
    <w:rPr/>
  </w:style>
  <w:style w:type="paragraph" w:styleId="Style25">
    <w:name w:val="Текст выноски"/>
    <w:basedOn w:val="Normal"/>
    <w:qFormat/>
    <w:pPr/>
    <w:rPr>
      <w:rFonts w:ascii="Segoe UI" w:hAnsi="Segoe UI" w:eastAsia="Segoe UI"/>
      <w:sz w:val="18"/>
      <w:szCs w:val="18"/>
      <w:lang w:eastAsia="ar-SA"/>
    </w:rPr>
  </w:style>
  <w:style w:type="paragraph" w:styleId="Style26">
    <w:name w:val="Обычный (веб)"/>
    <w:basedOn w:val="Normal"/>
    <w:qFormat/>
    <w:pPr>
      <w:spacing w:before="280" w:after="280"/>
    </w:pPr>
    <w:rPr/>
  </w:style>
  <w:style w:type="paragraph" w:styleId="BodyText2">
    <w:name w:val="Body Text 2"/>
    <w:basedOn w:val="Normal"/>
    <w:qFormat/>
    <w:pPr>
      <w:ind w:firstLine="720"/>
      <w:jc w:val="center"/>
    </w:pPr>
    <w:rPr/>
  </w:style>
  <w:style w:type="paragraph" w:styleId="12">
    <w:name w:val="Указатель1"/>
    <w:basedOn w:val="Normal"/>
    <w:qFormat/>
    <w:pPr/>
    <w:rPr>
      <w:rFonts w:eastAsia="Lohit Devanagari"/>
      <w:lang w:eastAsia="ar-SA"/>
    </w:rPr>
  </w:style>
  <w:style w:type="paragraph" w:styleId="Style27">
    <w:name w:val="Название объекта"/>
    <w:basedOn w:val="Normal"/>
    <w:qFormat/>
    <w:pPr>
      <w:spacing w:before="120" w:after="120"/>
    </w:pPr>
    <w:rPr>
      <w:rFonts w:eastAsia="Lohit Devanagari"/>
      <w:i/>
      <w:iCs/>
      <w:lang w:eastAsia="ar-SA"/>
    </w:rPr>
  </w:style>
  <w:style w:type="paragraph" w:styleId="Style28">
    <w:name w:val="Назва об'єкта"/>
    <w:basedOn w:val="Normal"/>
    <w:qFormat/>
    <w:pPr>
      <w:spacing w:before="120" w:after="120"/>
    </w:pPr>
    <w:rPr>
      <w:rFonts w:eastAsia="Lohit Devanagari"/>
      <w:i/>
      <w:iCs/>
      <w:lang w:eastAsia="ar-SA"/>
    </w:rPr>
  </w:style>
  <w:style w:type="paragraph" w:styleId="Style29">
    <w:name w:val="Название"/>
    <w:basedOn w:val="Normal"/>
    <w:qFormat/>
    <w:pPr>
      <w:spacing w:before="120" w:after="120"/>
    </w:pPr>
    <w:rPr>
      <w:rFonts w:eastAsia="Lohit Devanagari"/>
      <w:i/>
      <w:iCs/>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Application>LibreOffice/7.0.1.2$Windows_X86_64 LibreOffice_project/7cbcfc562f6eb6708b5ff7d7397325de9e764452</Application>
  <Pages>13</Pages>
  <Words>3914</Words>
  <Characters>27087</Characters>
  <CharactersWithSpaces>31055</CharactersWithSpaces>
  <Paragraphs>669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uk-UA</dc:language>
  <cp:lastModifiedBy/>
  <dcterms:modified xsi:type="dcterms:W3CDTF">2021-03-26T09:34:12Z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