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textAlignment w:val="auto"/>
        <w:rPr>
          <w:rFonts w:ascii="Times New Roman" w:hAnsi="Times New Roman" w:eastAsia="Andale Sans UI" w:cs="Times New Roman"/>
          <w:b/>
          <w:b/>
          <w:bCs/>
          <w:kern w:val="2"/>
          <w:sz w:val="28"/>
          <w:szCs w:val="28"/>
        </w:rPr>
      </w:pPr>
      <w:r>
        <w:rPr>
          <w:rFonts w:eastAsia="Andale Sans UI" w:cs="Times New Roman" w:ascii="Times New Roman" w:hAnsi="Times New Roman"/>
          <w:b/>
          <w:bCs/>
          <w:kern w:val="2"/>
          <w:sz w:val="28"/>
          <w:szCs w:val="28"/>
        </w:rPr>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pacing w:lineRule="auto" w:line="240" w:before="0" w:after="0"/>
        <w:jc w:val="center"/>
        <w:textAlignment w:val="auto"/>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BodyText2"/>
        <w:spacing w:before="0" w:after="0"/>
        <w:ind w:left="0" w:right="0" w:hanging="0"/>
        <w:jc w:val="left"/>
        <w:rPr/>
      </w:pPr>
      <w:r>
        <w:rPr>
          <w:rFonts w:eastAsia="Times New Roman" w:cs="Times New Roman"/>
          <w:b w:val="false"/>
          <w:bCs w:val="false"/>
          <w:color w:val="auto"/>
          <w:sz w:val="28"/>
          <w:szCs w:val="28"/>
          <w:u w:val="none"/>
          <w:lang w:val="uk-UA" w:eastAsia="zh-CN" w:bidi="ar-SA"/>
        </w:rPr>
        <w:t>23.04.2025</w:t>
      </w:r>
      <w:r>
        <w:rPr>
          <w:rFonts w:eastAsia="Times New Roman" w:cs="Times New Roman"/>
          <w:b/>
          <w:bCs/>
          <w:sz w:val="28"/>
          <w:szCs w:val="28"/>
          <w:lang w:val="uk-UA"/>
        </w:rPr>
        <w:t xml:space="preserve">                                           </w:t>
      </w:r>
      <w:r>
        <w:rPr>
          <w:rFonts w:eastAsia="Times New Roman" w:cs="Times New Roman"/>
          <w:b w:val="false"/>
          <w:bCs w:val="false"/>
          <w:sz w:val="28"/>
          <w:szCs w:val="28"/>
          <w:lang w:val="uk-UA"/>
        </w:rPr>
        <w:t xml:space="preserve"> </w:t>
      </w:r>
      <w:r>
        <w:rPr>
          <w:rFonts w:eastAsia="Times New Roman" w:cs="Times New Roman"/>
          <w:b w:val="false"/>
          <w:bCs w:val="false"/>
          <w:sz w:val="20"/>
          <w:szCs w:val="20"/>
          <w:lang w:val="uk-UA"/>
        </w:rPr>
        <w:t xml:space="preserve">м.Покров  </w:t>
      </w:r>
      <w:r>
        <w:rPr>
          <w:rFonts w:eastAsia="Times New Roman" w:cs="Times New Roman"/>
          <w:b/>
          <w:bCs/>
          <w:sz w:val="28"/>
          <w:szCs w:val="28"/>
          <w:lang w:val="uk-UA"/>
        </w:rPr>
        <w:t xml:space="preserve">                                 </w:t>
      </w:r>
      <w:r>
        <w:rPr>
          <w:rFonts w:eastAsia="Times New Roman" w:cs="Times New Roman"/>
          <w:b w:val="false"/>
          <w:bCs w:val="false"/>
          <w:sz w:val="28"/>
          <w:szCs w:val="28"/>
          <w:lang w:val="uk-UA"/>
        </w:rPr>
        <w:t>№</w:t>
      </w:r>
      <w:r>
        <w:rPr>
          <w:rFonts w:eastAsia="Times New Roman" w:cs="Times New Roman"/>
          <w:b w:val="false"/>
          <w:bCs w:val="false"/>
          <w:sz w:val="28"/>
          <w:szCs w:val="28"/>
          <w:u w:val="none"/>
          <w:lang w:val="uk-UA"/>
        </w:rPr>
        <w:t>1</w:t>
      </w:r>
      <w:r>
        <w:rPr>
          <w:rFonts w:eastAsia="Times New Roman" w:cs="Times New Roman"/>
          <w:b w:val="false"/>
          <w:bCs w:val="false"/>
          <w:sz w:val="28"/>
          <w:szCs w:val="28"/>
          <w:u w:val="none"/>
          <w:lang w:val="uk-UA"/>
        </w:rPr>
        <w:t>45</w:t>
      </w:r>
      <w:r>
        <w:rPr>
          <w:rFonts w:eastAsia="Times New Roman" w:cs="Times New Roman"/>
          <w:b w:val="false"/>
          <w:bCs w:val="false"/>
          <w:sz w:val="28"/>
          <w:szCs w:val="28"/>
          <w:u w:val="none"/>
          <w:lang w:val="uk-UA"/>
        </w:rPr>
        <w:t>/06-53-25</w:t>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rPr>
          <w:rFonts w:eastAsia="Andale Sans UI" w:cs="Times New Roman" w:ascii="Times New Roman" w:hAnsi="Times New Roman"/>
          <w:kern w:val="2"/>
          <w:sz w:val="24"/>
          <w:szCs w:val="24"/>
        </w:rPr>
      </w:r>
    </w:p>
    <w:p>
      <w:pPr>
        <w:pStyle w:val="LOnormal"/>
        <w:jc w:val="both"/>
        <w:rPr/>
      </w:pPr>
      <w:r>
        <w:rPr>
          <w:rFonts w:eastAsia="Times New Roman" w:cs="Times New Roman" w:ascii="Times New Roman" w:hAnsi="Times New Roman"/>
          <w:color w:val="000000"/>
          <w:sz w:val="26"/>
          <w:szCs w:val="26"/>
        </w:rPr>
        <w:t>Про затвердження інформаційних та технологічних карток адміністративних послуг Центру надання адміністративних послуг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6"/>
          <w:szCs w:val="26"/>
        </w:rPr>
        <w:t xml:space="preserve">         </w:t>
      </w:r>
    </w:p>
    <w:p>
      <w:pPr>
        <w:pStyle w:val="LOnormal"/>
        <w:ind w:firstLine="720"/>
        <w:jc w:val="both"/>
        <w:rPr>
          <w:rFonts w:eastAsia="Calibri" w:cs="Calibri"/>
          <w:color w:val="000000"/>
          <w:sz w:val="26"/>
          <w:szCs w:val="26"/>
        </w:rPr>
      </w:pPr>
      <w:r>
        <w:rPr>
          <w:rFonts w:eastAsia="Times New Roman" w:cs="Times New Roman" w:ascii="Times New Roman" w:hAnsi="Times New Roman"/>
          <w:color w:val="000000"/>
          <w:sz w:val="26"/>
          <w:szCs w:val="26"/>
        </w:rPr>
        <w:t>Керуючись законами України «Про місцеве самоврядування в Україні», «Про адміністративні послуги», «Про адміністративну процедуру», наказом Міністерства соціальної політики України від 14.01.2025 №10-Н «Про затвердження типових інформаційних карток адміністративних послуг у сфері соціального захисту населення», на виконання пункту 2 рішення 65 сесії міської ради 8 скликання від 21.02.2025 №19 «Про затвердження Переліку адміністративних послуг, які надаються через Центр надання адміністративних послуг виконавчого комітету Покровської міської ради у новій редакції»,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виконавчого комітету Покровської міської ради, виконавчий комітет Покровської міської ради Дніпропетровської області</w:t>
      </w:r>
    </w:p>
    <w:p>
      <w:pPr>
        <w:pStyle w:val="LOnormal"/>
        <w:tabs>
          <w:tab w:val="clear" w:pos="720"/>
          <w:tab w:val="left" w:pos="0" w:leader="none"/>
          <w:tab w:val="left" w:pos="567" w:leader="none"/>
        </w:tabs>
        <w:jc w:val="both"/>
        <w:rPr>
          <w:rFonts w:ascii="Times New Roman" w:hAnsi="Times New Roman" w:eastAsia="Times New Roman" w:cs="Times New Roman"/>
          <w:b/>
          <w:b/>
          <w:color w:val="000000"/>
          <w:sz w:val="10"/>
          <w:szCs w:val="10"/>
        </w:rPr>
      </w:pPr>
      <w:r>
        <w:rPr>
          <w:rFonts w:eastAsia="Times New Roman" w:cs="Times New Roman" w:ascii="Times New Roman" w:hAnsi="Times New Roman"/>
          <w:b/>
          <w:color w:val="000000"/>
          <w:sz w:val="10"/>
          <w:szCs w:val="10"/>
        </w:rPr>
      </w:r>
    </w:p>
    <w:p>
      <w:pPr>
        <w:pStyle w:val="LOnormal"/>
        <w:tabs>
          <w:tab w:val="clear" w:pos="720"/>
          <w:tab w:val="left" w:pos="0" w:leader="none"/>
          <w:tab w:val="left" w:pos="567" w:leader="none"/>
        </w:tabs>
        <w:jc w:val="both"/>
        <w:rPr>
          <w:rFonts w:eastAsia="Calibri" w:cs="Calibri"/>
          <w:color w:val="000000"/>
          <w:sz w:val="26"/>
          <w:szCs w:val="26"/>
        </w:rPr>
      </w:pPr>
      <w:r>
        <w:rPr>
          <w:rFonts w:eastAsia="Times New Roman" w:cs="Times New Roman" w:ascii="Times New Roman" w:hAnsi="Times New Roman"/>
          <w:b/>
          <w:color w:val="000000"/>
          <w:sz w:val="26"/>
          <w:szCs w:val="26"/>
        </w:rPr>
        <w:t>ВИРІШИВ:</w:t>
      </w:r>
    </w:p>
    <w:p>
      <w:pPr>
        <w:pStyle w:val="LOnormal"/>
        <w:ind w:firstLine="57"/>
        <w:jc w:val="both"/>
        <w:rPr>
          <w:rFonts w:ascii="Times New Roman" w:hAnsi="Times New Roman" w:eastAsia="Times New Roman" w:cs="Times New Roman"/>
          <w:b/>
          <w:b/>
          <w:color w:val="000000"/>
          <w:sz w:val="10"/>
          <w:szCs w:val="10"/>
        </w:rPr>
      </w:pPr>
      <w:r>
        <w:rPr>
          <w:rFonts w:eastAsia="Times New Roman" w:cs="Times New Roman" w:ascii="Times New Roman" w:hAnsi="Times New Roman"/>
          <w:b/>
          <w:color w:val="000000"/>
          <w:sz w:val="10"/>
          <w:szCs w:val="10"/>
        </w:rPr>
      </w:r>
    </w:p>
    <w:p>
      <w:pPr>
        <w:pStyle w:val="LOnormal"/>
        <w:ind w:firstLine="57"/>
        <w:jc w:val="both"/>
        <w:rPr/>
      </w:pPr>
      <w:r>
        <w:rPr>
          <w:rFonts w:eastAsia="Times New Roman" w:cs="Times New Roman" w:ascii="Times New Roman" w:hAnsi="Times New Roman"/>
          <w:b/>
          <w:color w:val="000000"/>
          <w:sz w:val="26"/>
          <w:szCs w:val="26"/>
        </w:rPr>
        <w:tab/>
      </w:r>
      <w:r>
        <w:rPr>
          <w:rFonts w:eastAsia="Times New Roman" w:cs="Times New Roman" w:ascii="Times New Roman" w:hAnsi="Times New Roman"/>
          <w:color w:val="000000"/>
          <w:sz w:val="26"/>
          <w:szCs w:val="26"/>
        </w:rPr>
        <w:t xml:space="preserve">1.Затвердити інформаційні та технологічні картки адміністративних послуг Центру надання адміністративних послуг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 </w:t>
      </w:r>
    </w:p>
    <w:p>
      <w:pPr>
        <w:pStyle w:val="LOnormal"/>
        <w:ind w:firstLine="57"/>
        <w:jc w:val="both"/>
        <w:rPr/>
      </w:pPr>
      <w:r>
        <w:rPr>
          <w:rFonts w:eastAsia="Times New Roman" w:cs="Times New Roman" w:ascii="Times New Roman" w:hAnsi="Times New Roman"/>
          <w:color w:val="000000"/>
          <w:sz w:val="26"/>
          <w:szCs w:val="26"/>
        </w:rPr>
        <w:tab/>
      </w:r>
      <w:r>
        <w:rPr>
          <w:rFonts w:eastAsia="Times New Roman" w:cs="Times New Roman" w:ascii="Times New Roman" w:hAnsi="Times New Roman"/>
          <w:color w:val="000000"/>
          <w:sz w:val="26"/>
          <w:szCs w:val="26"/>
          <w:lang w:val="en-US"/>
        </w:rPr>
        <w:t>1.</w:t>
      </w:r>
      <w:r>
        <w:rPr>
          <w:rFonts w:eastAsia="Times New Roman" w:cs="Times New Roman" w:ascii="Times New Roman" w:hAnsi="Times New Roman"/>
          <w:color w:val="000000"/>
          <w:sz w:val="26"/>
          <w:szCs w:val="26"/>
          <w:lang w:val="uk-UA"/>
        </w:rPr>
        <w:t>1.</w:t>
      </w:r>
      <w:r>
        <w:rPr>
          <w:rFonts w:eastAsia="Times New Roman" w:cs="Times New Roman" w:ascii="Times New Roman" w:hAnsi="Times New Roman"/>
          <w:color w:val="000000"/>
          <w:sz w:val="26"/>
          <w:szCs w:val="26"/>
        </w:rPr>
        <w:t>«Подання інформаційного повідомлення про пошкоджене та знищене нерухоме майно внаслідок бойових дій, терористичних активів, диверсій, спричинених військовою агресією російської федерації» (додаються).</w:t>
      </w:r>
    </w:p>
    <w:p>
      <w:pPr>
        <w:pStyle w:val="LOnormal"/>
        <w:ind w:firstLine="57"/>
        <w:jc w:val="both"/>
        <w:rPr/>
      </w:pPr>
      <w:r>
        <w:rPr>
          <w:rFonts w:eastAsia="Times New Roman" w:cs="Times New Roman" w:ascii="Times New Roman" w:hAnsi="Times New Roman"/>
          <w:color w:val="000000"/>
          <w:sz w:val="26"/>
          <w:szCs w:val="26"/>
        </w:rPr>
        <w:tab/>
        <w:t>1.2.«Надання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 (додаються).</w:t>
      </w:r>
    </w:p>
    <w:p>
      <w:pPr>
        <w:pStyle w:val="LOnormal"/>
        <w:ind w:firstLine="57"/>
        <w:jc w:val="both"/>
        <w:rPr/>
      </w:pPr>
      <w:r>
        <w:rPr>
          <w:rFonts w:eastAsia="Times New Roman" w:cs="Times New Roman" w:ascii="Times New Roman" w:hAnsi="Times New Roman"/>
          <w:color w:val="000000"/>
          <w:sz w:val="26"/>
          <w:szCs w:val="26"/>
        </w:rPr>
        <w:tab/>
        <w:t>1.3.«Видача витягу з Єдиного державного реєстру юридичних осіб, фізичних                        осіб — підприємців та громадських формувань» (додаються).</w:t>
      </w:r>
    </w:p>
    <w:p>
      <w:pPr>
        <w:pStyle w:val="LOnormal"/>
        <w:ind w:firstLine="57"/>
        <w:jc w:val="both"/>
        <w:rPr/>
      </w:pPr>
      <w:r>
        <w:rPr>
          <w:rFonts w:eastAsia="Times New Roman" w:cs="Times New Roman" w:ascii="Times New Roman" w:hAnsi="Times New Roman"/>
          <w:color w:val="000000"/>
          <w:sz w:val="26"/>
          <w:szCs w:val="26"/>
        </w:rPr>
        <w:tab/>
        <w:t>1.4.«Надання інформації з Державного реєстру речових прав на нерухоме майно» (додаються).</w:t>
      </w:r>
    </w:p>
    <w:p>
      <w:pPr>
        <w:pStyle w:val="LOnormal"/>
        <w:ind w:firstLine="57"/>
        <w:jc w:val="both"/>
        <w:rPr/>
      </w:pPr>
      <w:r>
        <w:rPr>
          <w:rFonts w:eastAsia="Times New Roman" w:cs="Times New Roman" w:ascii="Times New Roman" w:hAnsi="Times New Roman"/>
          <w:color w:val="000000"/>
          <w:sz w:val="26"/>
          <w:szCs w:val="26"/>
        </w:rPr>
        <w:tab/>
        <w:t>1.5.«Надання відомостей з Єдиного державного реєстру ветеранів війни» (додаються).</w:t>
      </w:r>
    </w:p>
    <w:p>
      <w:pPr>
        <w:pStyle w:val="LOnormal"/>
        <w:ind w:firstLine="57"/>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jc w:val="both"/>
        <w:rPr/>
      </w:pPr>
      <w:r>
        <w:rPr>
          <w:rFonts w:eastAsia="Times New Roman" w:cs="Times New Roman" w:ascii="Times New Roman" w:hAnsi="Times New Roman"/>
          <w:color w:val="000000"/>
          <w:sz w:val="26"/>
          <w:szCs w:val="26"/>
        </w:rPr>
        <w:tab/>
        <w:t>2. Центру надання адміністративних послуг виконавчого комітету Покровської міської ради Дніпропетровської області (Інні КЛОЧКОВСЬКІЙ) забезпечити розміщення інформаційних та технологічних карток адміністративних послуг Центру надання адміністративних послуг виконавчого комітету Покровської міської ради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ind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3.У разі зміни нормативно-правової бази, забезпечити своєчасне коригування інформаційної та технологічної карток адміністративної послуги.</w:t>
      </w:r>
    </w:p>
    <w:p>
      <w:pPr>
        <w:pStyle w:val="LOnormal"/>
        <w:ind w:firstLine="720"/>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tabs>
          <w:tab w:val="left" w:pos="720" w:leader="none"/>
          <w:tab w:val="left" w:pos="7020" w:leader="none"/>
        </w:tabs>
        <w:jc w:val="both"/>
        <w:rPr/>
      </w:pPr>
      <w:r>
        <w:rPr>
          <w:rFonts w:eastAsia="Times New Roman" w:cs="Times New Roman" w:ascii="Times New Roman" w:hAnsi="Times New Roman"/>
          <w:color w:val="000000"/>
          <w:sz w:val="26"/>
          <w:szCs w:val="26"/>
        </w:rPr>
        <w:tab/>
        <w:t>4.Координацію роботи щодо виконання даного рішення покласти на адміністратора — керівника ЦНАП Інну КЛОЧКОВСЬКУ, контроль - на заступника міського голови Олександра ЧИСТЯКОВА.</w:t>
      </w:r>
    </w:p>
    <w:p>
      <w:pPr>
        <w:pStyle w:val="LOnormal"/>
        <w:jc w:val="both"/>
        <w:rPr>
          <w:rFonts w:ascii="Times New Roman" w:hAnsi="Times New Roman" w:eastAsia="Times New Roman" w:cs="Times New Roman"/>
          <w:color w:val="000000"/>
          <w:sz w:val="36"/>
          <w:szCs w:val="36"/>
        </w:rPr>
      </w:pPr>
      <w:r>
        <w:rPr>
          <w:rFonts w:eastAsia="Times New Roman" w:cs="Times New Roman" w:ascii="Times New Roman" w:hAnsi="Times New Roman"/>
          <w:color w:val="000000"/>
          <w:sz w:val="36"/>
          <w:szCs w:val="36"/>
        </w:rPr>
      </w:r>
    </w:p>
    <w:p>
      <w:pPr>
        <w:pStyle w:val="LOnormal"/>
        <w:jc w:val="both"/>
        <w:rPr>
          <w:rFonts w:ascii="Times New Roman" w:hAnsi="Times New Roman" w:eastAsia="Times New Roman" w:cs="Times New Roman"/>
          <w:color w:val="000000"/>
          <w:sz w:val="36"/>
          <w:szCs w:val="36"/>
        </w:rPr>
      </w:pPr>
      <w:r>
        <w:rPr>
          <w:rFonts w:eastAsia="Times New Roman" w:cs="Times New Roman" w:ascii="Times New Roman" w:hAnsi="Times New Roman"/>
          <w:color w:val="000000"/>
          <w:sz w:val="36"/>
          <w:szCs w:val="36"/>
        </w:rPr>
      </w:r>
    </w:p>
    <w:p>
      <w:pPr>
        <w:pStyle w:val="LOnormal"/>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jc w:val="both"/>
        <w:rPr/>
      </w:pPr>
      <w:r>
        <w:rPr>
          <w:rFonts w:eastAsia="Times New Roman" w:cs="Times New Roman" w:ascii="Times New Roman" w:hAnsi="Times New Roman"/>
          <w:color w:val="000000"/>
          <w:sz w:val="26"/>
          <w:szCs w:val="26"/>
        </w:rPr>
        <w:t>Заступник міського голови</w:t>
        <w:tab/>
        <w:tab/>
        <w:tab/>
        <w:tab/>
        <w:tab/>
        <w:tab/>
        <w:t>Віталій СОЛЯНКО</w:t>
      </w:r>
    </w:p>
    <w:sectPr>
      <w:type w:val="nextPage"/>
      <w:pgSz w:w="11906" w:h="16838"/>
      <w:pgMar w:left="1701" w:right="567" w:gutter="0" w:header="0" w:top="993" w:footer="0" w:bottom="1135"/>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Caption">
    <w:name w:val="caption"/>
    <w:basedOn w:val="Normal"/>
    <w:qFormat/>
    <w:pPr>
      <w:suppressLineNumbers/>
      <w:spacing w:before="120" w:after="120"/>
    </w:pPr>
    <w:rPr>
      <w:rFonts w:cs="Arial"/>
      <w:i/>
      <w:iCs/>
      <w:sz w:val="24"/>
      <w:szCs w:val="24"/>
    </w:rPr>
  </w:style>
  <w:style w:type="paragraph" w:styleId="Style20">
    <w:name w:val="Title"/>
    <w:basedOn w:val="LOnormal"/>
    <w:next w:val="Style16"/>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Application>LibreOffice/7.4.3.2$Windows_X86_64 LibreOffice_project/1048a8393ae2eeec98dff31b5c133c5f1d08b890</Application>
  <AppVersion>15.0000</AppVersion>
  <Pages>2</Pages>
  <Words>410</Words>
  <Characters>3150</Characters>
  <CharactersWithSpaces>3668</CharactersWithSpaces>
  <Paragraphs>18</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2025-04-22T09:18:13Z</cp:lastPrinted>
  <dcterms:modified xsi:type="dcterms:W3CDTF">2025-04-29T16:52:29Z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