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101650F9" w:rsidR="000552D2" w:rsidRDefault="001C6483" w:rsidP="00933078">
            <w:pPr>
              <w:rPr>
                <w:lang w:val="uk-UA"/>
              </w:rPr>
            </w:pPr>
            <w:bookmarkStart w:id="1" w:name="_GoBack"/>
            <w:bookmarkEnd w:id="1"/>
            <w:r>
              <w:rPr>
                <w:u w:val="single"/>
                <w:lang w:val="uk-UA"/>
              </w:rPr>
              <w:t>23.04.2025</w:t>
            </w:r>
            <w:r>
              <w:rPr>
                <w:lang w:val="uk-UA"/>
              </w:rPr>
              <w:t xml:space="preserve">   №   </w:t>
            </w:r>
            <w:r>
              <w:rPr>
                <w:u w:val="single"/>
                <w:lang w:val="uk-UA"/>
              </w:rPr>
              <w:t xml:space="preserve">145/06-53-25 </w:t>
            </w:r>
            <w:r w:rsidR="00933078">
              <w:rPr>
                <w:u w:val="single"/>
                <w:lang w:val="uk-UA"/>
              </w:rPr>
              <w:t xml:space="preserve">                     </w:t>
            </w:r>
            <w:r w:rsidR="00D22DCD">
              <w:rPr>
                <w:u w:val="single"/>
                <w:lang w:val="uk-UA"/>
              </w:rPr>
              <w:t xml:space="preserve">    </w:t>
            </w:r>
            <w:r w:rsidR="00933078">
              <w:rPr>
                <w:u w:val="single"/>
                <w:lang w:val="uk-UA"/>
              </w:rPr>
              <w:t xml:space="preserve">                        </w:t>
            </w:r>
          </w:p>
        </w:tc>
      </w:tr>
    </w:tbl>
    <w:p w14:paraId="27A7F0EA" w14:textId="77777777" w:rsidR="006E332E" w:rsidRDefault="006E332E" w:rsidP="006E332E">
      <w:pPr>
        <w:jc w:val="center"/>
        <w:rPr>
          <w:b/>
          <w:bCs/>
          <w:sz w:val="26"/>
          <w:szCs w:val="26"/>
          <w:lang w:eastAsia="uk-UA"/>
        </w:rPr>
      </w:pPr>
    </w:p>
    <w:p w14:paraId="6BBF092D" w14:textId="3D59C9E0" w:rsidR="00D624C7" w:rsidRPr="00C2260F" w:rsidRDefault="00D624C7" w:rsidP="00D624C7">
      <w:pPr>
        <w:jc w:val="center"/>
        <w:rPr>
          <w:b/>
          <w:bCs/>
          <w:lang w:val="uk-UA"/>
        </w:rPr>
      </w:pPr>
      <w:r w:rsidRPr="00C2260F">
        <w:rPr>
          <w:b/>
          <w:bCs/>
          <w:lang w:eastAsia="uk-UA"/>
        </w:rPr>
        <w:t>ІНФОРМАЦІЙНА КАРТКА АДМІНІСТРАТИВНОЇ ПОСЛУГИ №</w:t>
      </w:r>
      <w:r w:rsidR="00C2260F">
        <w:rPr>
          <w:b/>
          <w:bCs/>
          <w:lang w:val="uk-UA" w:eastAsia="uk-UA"/>
        </w:rPr>
        <w:t xml:space="preserve"> </w:t>
      </w:r>
      <w:r w:rsidR="005D5631">
        <w:rPr>
          <w:b/>
          <w:bCs/>
          <w:lang w:val="uk-UA" w:eastAsia="uk-UA"/>
        </w:rPr>
        <w:t>08-</w:t>
      </w:r>
      <w:r w:rsidR="002A0D91" w:rsidRPr="00C2260F">
        <w:rPr>
          <w:b/>
          <w:bCs/>
          <w:lang w:val="uk-UA" w:eastAsia="uk-UA"/>
        </w:rPr>
        <w:t>38</w:t>
      </w:r>
      <w:r w:rsidR="005D5631">
        <w:rPr>
          <w:b/>
          <w:bCs/>
          <w:lang w:val="uk-UA" w:eastAsia="uk-UA"/>
        </w:rPr>
        <w:t>.1</w:t>
      </w:r>
    </w:p>
    <w:p w14:paraId="1ACFE222" w14:textId="77777777" w:rsidR="00D624C7" w:rsidRDefault="00D624C7" w:rsidP="00D624C7">
      <w:pPr>
        <w:jc w:val="center"/>
        <w:rPr>
          <w:lang w:eastAsia="uk-UA"/>
        </w:rPr>
      </w:pPr>
    </w:p>
    <w:p w14:paraId="342303A6" w14:textId="055DDD29" w:rsidR="00D624C7" w:rsidRPr="000278F8" w:rsidRDefault="00D624C7" w:rsidP="00D624C7">
      <w:pPr>
        <w:jc w:val="center"/>
        <w:rPr>
          <w:b/>
          <w:caps/>
        </w:rPr>
      </w:pPr>
      <w:r w:rsidRPr="00830B0A">
        <w:rPr>
          <w:b/>
          <w:bCs/>
          <w:caps/>
          <w:lang w:eastAsia="uk-UA"/>
        </w:rPr>
        <w:t>призначення грошової компенсації особам з інвалідністю замі</w:t>
      </w:r>
      <w:r>
        <w:rPr>
          <w:b/>
          <w:bCs/>
          <w:caps/>
          <w:lang w:eastAsia="uk-UA"/>
        </w:rPr>
        <w:t>сть санаторно-курортної путівки</w:t>
      </w:r>
      <w:r>
        <w:rPr>
          <w:b/>
          <w:caps/>
        </w:rPr>
        <w:t xml:space="preserve"> </w:t>
      </w:r>
    </w:p>
    <w:p w14:paraId="252C5C9B" w14:textId="77777777" w:rsidR="006E332E" w:rsidRPr="006E332E" w:rsidRDefault="006E332E">
      <w:pPr>
        <w:jc w:val="center"/>
        <w:rPr>
          <w:b/>
          <w:sz w:val="26"/>
          <w:szCs w:val="26"/>
        </w:rPr>
      </w:pP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0DD911A4"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D624C7">
        <w:rPr>
          <w:bCs/>
          <w:sz w:val="26"/>
          <w:szCs w:val="26"/>
          <w:u w:val="single"/>
          <w:lang w:val="uk-UA"/>
        </w:rPr>
        <w:t>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2E317D72" w:rsidR="000552D2" w:rsidRDefault="00A20827" w:rsidP="00933078">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rsidR="00933078">
              <w:t>вул</w:t>
            </w:r>
            <w:proofErr w:type="spellEnd"/>
            <w:r w:rsidR="00933078">
              <w:t xml:space="preserve">. </w:t>
            </w:r>
            <w:r>
              <w:t xml:space="preserve">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1C6483"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9F0A2C"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9F0A2C" w:rsidRDefault="009F0A2C" w:rsidP="009F0A2C">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9F0A2C" w:rsidRDefault="009F0A2C" w:rsidP="009F0A2C">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41460220" w:rsidR="009F0A2C" w:rsidRDefault="009F0A2C" w:rsidP="009F0A2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9F0A2C" w:rsidRDefault="009F0A2C" w:rsidP="009F0A2C">
            <w:pPr>
              <w:pStyle w:val="TableParagraph"/>
              <w:jc w:val="center"/>
            </w:pPr>
            <w:r>
              <w:rPr>
                <w:sz w:val="24"/>
              </w:rPr>
              <w:t>(063)0588481</w:t>
            </w:r>
          </w:p>
          <w:p w14:paraId="7493B132" w14:textId="77777777" w:rsidR="009F0A2C" w:rsidRDefault="009F0A2C" w:rsidP="009F0A2C">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9F0A2C" w:rsidRDefault="009F0A2C" w:rsidP="009F0A2C">
            <w:pPr>
              <w:pStyle w:val="TableParagraph"/>
              <w:jc w:val="center"/>
              <w:rPr>
                <w:sz w:val="24"/>
              </w:rPr>
            </w:pPr>
            <w:r>
              <w:rPr>
                <w:sz w:val="24"/>
              </w:rPr>
              <w:t>ПН-ЧТ 08-16.00</w:t>
            </w:r>
          </w:p>
          <w:p w14:paraId="1B797731" w14:textId="77777777" w:rsidR="009F0A2C" w:rsidRDefault="009F0A2C" w:rsidP="009F0A2C">
            <w:pPr>
              <w:pStyle w:val="TableParagraph"/>
              <w:jc w:val="center"/>
              <w:rPr>
                <w:sz w:val="24"/>
              </w:rPr>
            </w:pPr>
            <w:r>
              <w:rPr>
                <w:sz w:val="24"/>
              </w:rPr>
              <w:t>перерва 12.00-12.45</w:t>
            </w:r>
          </w:p>
          <w:p w14:paraId="1DDE6154" w14:textId="77777777" w:rsidR="009F0A2C" w:rsidRDefault="009F0A2C" w:rsidP="009F0A2C">
            <w:pPr>
              <w:pStyle w:val="TableParagraph"/>
              <w:jc w:val="center"/>
              <w:rPr>
                <w:sz w:val="24"/>
              </w:rPr>
            </w:pPr>
            <w:r>
              <w:rPr>
                <w:sz w:val="24"/>
              </w:rPr>
              <w:t>ПТ 08.00-15.00</w:t>
            </w:r>
          </w:p>
          <w:p w14:paraId="774894C6" w14:textId="77777777" w:rsidR="009F0A2C" w:rsidRDefault="009F0A2C" w:rsidP="009F0A2C">
            <w:pPr>
              <w:pStyle w:val="TableParagraph"/>
              <w:jc w:val="center"/>
              <w:rPr>
                <w:sz w:val="24"/>
              </w:rPr>
            </w:pPr>
            <w:r>
              <w:rPr>
                <w:sz w:val="24"/>
              </w:rPr>
              <w:t>перерва 12.00-13.00</w:t>
            </w:r>
          </w:p>
        </w:tc>
        <w:tc>
          <w:tcPr>
            <w:tcW w:w="235" w:type="dxa"/>
            <w:shd w:val="clear" w:color="auto" w:fill="auto"/>
          </w:tcPr>
          <w:p w14:paraId="36807826" w14:textId="77777777" w:rsidR="009F0A2C" w:rsidRDefault="009F0A2C" w:rsidP="009F0A2C"/>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1C6483"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08A47728" w:rsidR="000552D2" w:rsidRPr="005B0862" w:rsidRDefault="00DC5045">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00FE07DA" w:rsidRPr="00FE07DA">
              <w:rPr>
                <w:lang w:val="uk-UA"/>
              </w:rPr>
              <w:t>Закон України „Про основи соціальної захищеності осіб з інвалідністю в Україні” від 21.03.1991 №</w:t>
            </w:r>
            <w:r w:rsidR="00FE07DA" w:rsidRPr="00A90BA7">
              <w:t> </w:t>
            </w:r>
            <w:r w:rsidR="00FE07DA" w:rsidRPr="00FE07DA">
              <w:rPr>
                <w:lang w:val="uk-UA"/>
              </w:rPr>
              <w:t>875-ХІІ</w:t>
            </w:r>
            <w:r w:rsidR="005B0862">
              <w:rPr>
                <w:lang w:val="uk-UA"/>
              </w:rPr>
              <w:t xml:space="preserve">, </w:t>
            </w:r>
            <w:r w:rsidR="005B0862" w:rsidRPr="005B0862">
              <w:rPr>
                <w:lang w:val="uk-UA"/>
              </w:rPr>
              <w:t xml:space="preserve"> Закон України „Про реабілітацію осіб з інвалідністю в Україні” від 06.10.2005 №</w:t>
            </w:r>
            <w:r w:rsidR="005B0862" w:rsidRPr="005B0862">
              <w:rPr>
                <w:b/>
                <w:lang w:val="uk-UA"/>
              </w:rPr>
              <w:t xml:space="preserve"> </w:t>
            </w:r>
            <w:r w:rsidR="005B0862" w:rsidRPr="005B0862">
              <w:rPr>
                <w:rStyle w:val="af7"/>
                <w:b w:val="0"/>
                <w:lang w:val="uk-UA"/>
              </w:rPr>
              <w:t>2961-</w:t>
            </w:r>
            <w:r w:rsidR="005B0862" w:rsidRPr="00830B0A">
              <w:rPr>
                <w:rStyle w:val="af7"/>
                <w:b w:val="0"/>
              </w:rPr>
              <w:t>IV</w:t>
            </w:r>
            <w:r w:rsidR="005B0862">
              <w:rPr>
                <w:rStyle w:val="af7"/>
                <w:b w:val="0"/>
                <w:lang w:val="uk-UA"/>
              </w:rPr>
              <w:t>.</w:t>
            </w:r>
          </w:p>
        </w:tc>
      </w:tr>
      <w:tr w:rsidR="002A0D91" w:rsidRPr="001C6483"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2A0D91" w:rsidRDefault="002A0D91" w:rsidP="002A0D91">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2A0D91" w:rsidRDefault="002A0D91" w:rsidP="002A0D91">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615B1C94" w:rsidR="002A0D91" w:rsidRPr="005B0862" w:rsidRDefault="002A0D91" w:rsidP="002A0D91">
            <w:pPr>
              <w:ind w:firstLine="284"/>
              <w:jc w:val="both"/>
              <w:rPr>
                <w:lang w:val="uk-UA"/>
              </w:rPr>
            </w:pPr>
            <w:r w:rsidRPr="002A0D91">
              <w:rPr>
                <w:lang w:val="uk-UA"/>
              </w:rPr>
              <w:t xml:space="preserve">Постанови Кабінету Міністрів України від 17.06.2004 № 785 „Про затвердження Порядку виплати грошової компенсації вартості санаторно-курортного лікування деяким категоріям </w:t>
            </w:r>
            <w:proofErr w:type="spellStart"/>
            <w:r w:rsidRPr="002A0D91">
              <w:rPr>
                <w:lang w:val="uk-UA"/>
              </w:rPr>
              <w:t>громадянˮ</w:t>
            </w:r>
            <w:proofErr w:type="spellEnd"/>
            <w:r>
              <w:rPr>
                <w:lang w:val="uk-UA"/>
              </w:rPr>
              <w:t xml:space="preserve">, </w:t>
            </w:r>
            <w:r w:rsidRPr="002A0D91">
              <w:rPr>
                <w:lang w:val="uk-UA"/>
              </w:rPr>
              <w:t xml:space="preserve"> від 07.02.2007 №</w:t>
            </w:r>
            <w:r>
              <w:t> </w:t>
            </w:r>
            <w:r w:rsidRPr="002A0D91">
              <w:rPr>
                <w:lang w:val="uk-UA"/>
              </w:rPr>
              <w:t>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від 25.11.2015 № 969 „Про внесення змін до порядків, затверджених постановами Кабінету Міністрів України від 17</w:t>
            </w:r>
            <w:r w:rsidRPr="00830B0A">
              <w:t> </w:t>
            </w:r>
            <w:r w:rsidRPr="002A0D91">
              <w:rPr>
                <w:lang w:val="uk-UA"/>
              </w:rPr>
              <w:t>червня 2004</w:t>
            </w:r>
            <w:r w:rsidRPr="00830B0A">
              <w:t> </w:t>
            </w:r>
            <w:r w:rsidRPr="002A0D91">
              <w:rPr>
                <w:lang w:val="uk-UA"/>
              </w:rPr>
              <w:t xml:space="preserve">р. № 785 і </w:t>
            </w:r>
            <w:r w:rsidRPr="002A0D91">
              <w:rPr>
                <w:lang w:val="uk-UA"/>
              </w:rPr>
              <w:br/>
              <w:t>від 7 лютого 2007 р. №</w:t>
            </w:r>
            <w:r>
              <w:t> </w:t>
            </w:r>
            <w:r w:rsidRPr="002A0D91">
              <w:rPr>
                <w:lang w:val="uk-UA"/>
              </w:rPr>
              <w:t>150”</w:t>
            </w:r>
          </w:p>
        </w:tc>
      </w:tr>
      <w:tr w:rsidR="002A0D91" w:rsidRPr="001C6483"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2A0D91" w:rsidRDefault="002A0D91" w:rsidP="002A0D91">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2A0D91" w:rsidRDefault="002A0D91" w:rsidP="002A0D91">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70441035" w:rsidR="002A0D91" w:rsidRDefault="002A0D91" w:rsidP="002A0D91">
            <w:pPr>
              <w:ind w:firstLine="284"/>
              <w:jc w:val="both"/>
              <w:rPr>
                <w:lang w:val="uk-UA"/>
              </w:rPr>
            </w:pPr>
            <w:r w:rsidRPr="002A0D91">
              <w:rPr>
                <w:lang w:val="uk-UA"/>
              </w:rPr>
              <w:t>Наказ Міністерства соціальної політики України від</w:t>
            </w:r>
            <w:r>
              <w:t> </w:t>
            </w:r>
            <w:r w:rsidRPr="002A0D91">
              <w:rPr>
                <w:lang w:val="uk-UA"/>
              </w:rPr>
              <w:t>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rsidRPr="002A0D91"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88E4420" w14:textId="71DBEC65" w:rsidR="00FE07DA" w:rsidRDefault="002A0D91" w:rsidP="002A0D91">
            <w:pPr>
              <w:ind w:firstLine="284"/>
              <w:jc w:val="both"/>
              <w:rPr>
                <w:lang w:val="uk-UA"/>
              </w:rPr>
            </w:pPr>
            <w:r w:rsidRPr="002A0D91">
              <w:rPr>
                <w:lang w:val="uk-UA"/>
              </w:rPr>
              <w:t>Грошова компенсація за путівку виплачується особі з інвалідністю, якщо вона протягом попередніх трьох календарних років перебувала на обліку та не одержувала безоплатної санаторно-курортної путівки</w:t>
            </w:r>
            <w:r>
              <w:rPr>
                <w:lang w:val="uk-UA"/>
              </w:rPr>
              <w:t xml:space="preserve">. </w:t>
            </w:r>
            <w:r w:rsidR="00FE07DA">
              <w:rPr>
                <w:lang w:val="uk-UA"/>
              </w:rPr>
              <w:t xml:space="preserve">Звернення заявника </w:t>
            </w:r>
            <w:r w:rsidR="00FE07DA">
              <w:rPr>
                <w:lang w:val="uk-UA"/>
              </w:rPr>
              <w:lastRenderedPageBreak/>
              <w:t xml:space="preserve">щодо </w:t>
            </w:r>
            <w:r w:rsidR="00020207">
              <w:rPr>
                <w:lang w:val="uk-UA"/>
              </w:rPr>
              <w:t>о</w:t>
            </w:r>
            <w:r w:rsidR="00FE07DA">
              <w:rPr>
                <w:lang w:val="uk-UA"/>
              </w:rPr>
              <w:t>держання/отримання адміністративної послуги</w:t>
            </w:r>
            <w:r>
              <w:rPr>
                <w:lang w:val="uk-UA"/>
              </w:rPr>
              <w:t>.</w:t>
            </w:r>
          </w:p>
        </w:tc>
      </w:tr>
      <w:tr w:rsidR="0034045A" w:rsidRPr="002A0D91" w14:paraId="088D5E75" w14:textId="77777777" w:rsidTr="00FA4057">
        <w:trPr>
          <w:trHeight w:val="409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34045A" w:rsidRDefault="0034045A" w:rsidP="0034045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34045A" w:rsidRDefault="0034045A" w:rsidP="0034045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AE9A32C" w14:textId="77777777" w:rsidR="0034045A" w:rsidRPr="0034045A" w:rsidRDefault="0034045A" w:rsidP="0034045A">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rPr>
                <w:lang w:val="uk-UA" w:eastAsia="uk-UA"/>
              </w:rPr>
            </w:pPr>
            <w:r w:rsidRPr="0034045A">
              <w:rPr>
                <w:lang w:val="uk-UA" w:eastAsia="uk-UA"/>
              </w:rPr>
              <w:t xml:space="preserve">Заява особи з інвалідністю про виплату грошової компенсації </w:t>
            </w:r>
            <w:r w:rsidRPr="0034045A">
              <w:rPr>
                <w:bCs/>
                <w:lang w:val="uk-UA" w:eastAsia="uk-UA"/>
              </w:rPr>
              <w:t xml:space="preserve">замість санаторно-курортної путівки </w:t>
            </w:r>
            <w:r w:rsidRPr="0034045A">
              <w:rPr>
                <w:bCs/>
                <w:lang w:val="uk-UA" w:eastAsia="uk-UA"/>
              </w:rPr>
              <w:br/>
              <w:t>(далі – компенсація)</w:t>
            </w:r>
            <w:r w:rsidRPr="0034045A">
              <w:rPr>
                <w:lang w:val="uk-UA" w:eastAsia="uk-UA"/>
              </w:rPr>
              <w:t>;</w:t>
            </w:r>
          </w:p>
          <w:p w14:paraId="10259BCA" w14:textId="77777777" w:rsidR="0034045A" w:rsidRPr="0034045A" w:rsidRDefault="0034045A" w:rsidP="00340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rPr>
                <w:lang w:val="uk-UA" w:eastAsia="uk-UA"/>
              </w:rPr>
            </w:pPr>
            <w:r w:rsidRPr="0034045A">
              <w:rPr>
                <w:lang w:val="uk-UA" w:eastAsia="uk-UA"/>
              </w:rPr>
              <w:t xml:space="preserve">медична довідка за формою 070/о щодо необхідності забезпечення санаторно-курортним лікуванням, затверджена наказом Міністерства охорони здоров’я </w:t>
            </w:r>
            <w:r w:rsidRPr="0034045A">
              <w:rPr>
                <w:lang w:val="uk-UA" w:eastAsia="uk-UA"/>
              </w:rPr>
              <w:br/>
              <w:t xml:space="preserve">від 14.02.2012 № 110 „Про затвердження форм первинної облікової документації та Інструкцій щодо їх заповнення, що використовуються у закладах охорони здоров’я незалежно від форми власності та </w:t>
            </w:r>
            <w:proofErr w:type="spellStart"/>
            <w:r w:rsidRPr="0034045A">
              <w:rPr>
                <w:lang w:val="uk-UA" w:eastAsia="uk-UA"/>
              </w:rPr>
              <w:t>підпорядкуванняˮ</w:t>
            </w:r>
            <w:proofErr w:type="spellEnd"/>
            <w:r w:rsidRPr="0034045A">
              <w:rPr>
                <w:lang w:val="uk-UA" w:eastAsia="uk-UA"/>
              </w:rPr>
              <w:t>, зареєстрованим в Міністерстві юстиції України 28.04.2012 за № 661/20974;</w:t>
            </w:r>
          </w:p>
          <w:p w14:paraId="0DD64ED5" w14:textId="77777777" w:rsidR="0034045A" w:rsidRPr="0034045A" w:rsidRDefault="0034045A" w:rsidP="00340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
              <w:rPr>
                <w:lang w:val="uk-UA" w:eastAsia="uk-UA"/>
              </w:rPr>
            </w:pPr>
            <w:r w:rsidRPr="0034045A">
              <w:rPr>
                <w:lang w:val="uk-UA" w:eastAsia="uk-UA"/>
              </w:rPr>
              <w:t>посвідчення особи з інвалідністю, що підтверджує її належність до пільгової категорії громадян;</w:t>
            </w:r>
          </w:p>
          <w:p w14:paraId="7B2654BA" w14:textId="719AE890" w:rsidR="0034045A" w:rsidRPr="006C6282" w:rsidRDefault="0034045A" w:rsidP="0034045A">
            <w:pPr>
              <w:pStyle w:val="rvps2"/>
              <w:shd w:val="clear" w:color="auto" w:fill="FFFFFF"/>
              <w:spacing w:beforeAutospacing="0" w:after="150" w:afterAutospacing="0"/>
              <w:ind w:firstLine="450"/>
              <w:jc w:val="both"/>
            </w:pPr>
            <w:r w:rsidRPr="00830B0A">
              <w:t>облікові дані про одержання путівок чи отримання  грошової компенсації</w:t>
            </w: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7B408DC4"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4" w:name="n318"/>
            <w:bookmarkEnd w:id="4"/>
            <w:r>
              <w:rPr>
                <w:lang w:val="uk-UA"/>
              </w:rPr>
              <w:t xml:space="preserve">Управління встановлює строк, достатній для </w:t>
            </w:r>
            <w:r>
              <w:rPr>
                <w:lang w:val="uk-UA"/>
              </w:rPr>
              <w:lastRenderedPageBreak/>
              <w:t xml:space="preserve">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7777777" w:rsidR="00FE07DA" w:rsidRPr="00FB6214" w:rsidRDefault="00FE07DA" w:rsidP="00FE07DA">
            <w:pPr>
              <w:ind w:firstLine="284"/>
              <w:jc w:val="both"/>
              <w:rPr>
                <w:lang w:val="uk-UA"/>
              </w:rPr>
            </w:pPr>
            <w:r w:rsidRPr="00FB6214">
              <w:rPr>
                <w:lang w:val="uk-UA"/>
              </w:rPr>
              <w:t>Протягом 10 робочих днів з дня надходження заяви та документів, необхідних для надання адміністративної послуги.</w:t>
            </w:r>
          </w:p>
          <w:p w14:paraId="2CA74C41" w14:textId="05812C01" w:rsidR="00FE07DA" w:rsidRPr="00FB6214" w:rsidRDefault="00FE07DA" w:rsidP="00B41265">
            <w:pPr>
              <w:ind w:firstLine="284"/>
              <w:jc w:val="both"/>
              <w:rPr>
                <w:lang w:val="uk-UA"/>
              </w:rPr>
            </w:pPr>
            <w:r w:rsidRPr="00FB6214">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38B061C4" w14:textId="77777777" w:rsidR="0034045A" w:rsidRPr="00830B0A" w:rsidRDefault="0034045A" w:rsidP="00340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rsidRPr="00830B0A">
              <w:t>Подання</w:t>
            </w:r>
            <w:proofErr w:type="spellEnd"/>
            <w:r w:rsidRPr="00830B0A">
              <w:t xml:space="preserve"> </w:t>
            </w:r>
            <w:proofErr w:type="spellStart"/>
            <w:r w:rsidRPr="00830B0A">
              <w:t>документів</w:t>
            </w:r>
            <w:proofErr w:type="spellEnd"/>
            <w:r w:rsidRPr="00830B0A">
              <w:t xml:space="preserve"> до заяви не в </w:t>
            </w:r>
            <w:proofErr w:type="spellStart"/>
            <w:r w:rsidRPr="00830B0A">
              <w:t>повному</w:t>
            </w:r>
            <w:proofErr w:type="spellEnd"/>
            <w:r w:rsidRPr="00830B0A">
              <w:t xml:space="preserve"> </w:t>
            </w:r>
            <w:proofErr w:type="spellStart"/>
            <w:r w:rsidRPr="00830B0A">
              <w:t>обсязі</w:t>
            </w:r>
            <w:proofErr w:type="spellEnd"/>
            <w:r w:rsidRPr="00830B0A">
              <w:t xml:space="preserve">; </w:t>
            </w:r>
          </w:p>
          <w:p w14:paraId="61A37823" w14:textId="77777777" w:rsidR="0034045A" w:rsidRPr="00830B0A" w:rsidRDefault="0034045A" w:rsidP="00340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rsidRPr="00830B0A">
              <w:t>заява</w:t>
            </w:r>
            <w:proofErr w:type="spellEnd"/>
            <w:r w:rsidRPr="00830B0A">
              <w:t xml:space="preserve"> подана особою, яка не </w:t>
            </w:r>
            <w:proofErr w:type="spellStart"/>
            <w:r w:rsidRPr="00830B0A">
              <w:t>має</w:t>
            </w:r>
            <w:proofErr w:type="spellEnd"/>
            <w:r w:rsidRPr="00830B0A">
              <w:t xml:space="preserve"> права на </w:t>
            </w:r>
            <w:proofErr w:type="spellStart"/>
            <w:r w:rsidRPr="00830B0A">
              <w:t>п</w:t>
            </w:r>
            <w:r>
              <w:t>ризначення</w:t>
            </w:r>
            <w:proofErr w:type="spellEnd"/>
            <w:r>
              <w:t xml:space="preserve"> </w:t>
            </w:r>
            <w:proofErr w:type="spellStart"/>
            <w:r w:rsidRPr="00830B0A">
              <w:t>компенсації</w:t>
            </w:r>
            <w:proofErr w:type="spellEnd"/>
            <w:r w:rsidRPr="00830B0A">
              <w:t>;</w:t>
            </w:r>
          </w:p>
          <w:p w14:paraId="63735323" w14:textId="5744D20C" w:rsidR="00FE07DA" w:rsidRDefault="0034045A" w:rsidP="0034045A">
            <w:pPr>
              <w:jc w:val="both"/>
              <w:rPr>
                <w:lang w:val="uk-UA"/>
              </w:rPr>
            </w:pPr>
            <w:r w:rsidRPr="00830B0A">
              <w:t xml:space="preserve">смерть </w:t>
            </w:r>
            <w:proofErr w:type="spellStart"/>
            <w:r w:rsidRPr="00830B0A">
              <w:t>отримувача</w:t>
            </w:r>
            <w:proofErr w:type="spellEnd"/>
            <w:r w:rsidRPr="00830B0A">
              <w:t xml:space="preserve"> </w:t>
            </w:r>
            <w:proofErr w:type="spellStart"/>
            <w:r w:rsidRPr="00830B0A">
              <w:t>даної</w:t>
            </w:r>
            <w:proofErr w:type="spellEnd"/>
            <w:r w:rsidRPr="00830B0A">
              <w:t xml:space="preserve"> </w:t>
            </w:r>
            <w:proofErr w:type="spellStart"/>
            <w:r w:rsidRPr="00830B0A">
              <w:t>послуги</w:t>
            </w:r>
            <w:proofErr w:type="spellEnd"/>
          </w:p>
        </w:tc>
      </w:tr>
      <w:tr w:rsidR="0034045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34045A" w:rsidRDefault="0034045A" w:rsidP="0034045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34045A" w:rsidRDefault="0034045A" w:rsidP="0034045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7EEA6D" w14:textId="4B9E768C" w:rsidR="0034045A" w:rsidRDefault="0034045A" w:rsidP="0034045A">
            <w:pPr>
              <w:jc w:val="both"/>
            </w:pPr>
            <w:proofErr w:type="spellStart"/>
            <w:r w:rsidRPr="00830B0A">
              <w:rPr>
                <w:lang w:eastAsia="uk-UA"/>
              </w:rPr>
              <w:t>Призначення</w:t>
            </w:r>
            <w:proofErr w:type="spellEnd"/>
            <w:r w:rsidRPr="00830B0A">
              <w:rPr>
                <w:lang w:eastAsia="uk-UA"/>
              </w:rPr>
              <w:t xml:space="preserve"> </w:t>
            </w:r>
            <w:proofErr w:type="spellStart"/>
            <w:r w:rsidRPr="00830B0A">
              <w:rPr>
                <w:lang w:eastAsia="uk-UA"/>
              </w:rPr>
              <w:t>компенсації</w:t>
            </w:r>
            <w:proofErr w:type="spellEnd"/>
            <w:r w:rsidRPr="00830B0A">
              <w:rPr>
                <w:lang w:eastAsia="uk-UA"/>
              </w:rPr>
              <w:t xml:space="preserve"> / </w:t>
            </w:r>
            <w:proofErr w:type="spellStart"/>
            <w:proofErr w:type="gramStart"/>
            <w:r w:rsidRPr="00830B0A">
              <w:rPr>
                <w:lang w:eastAsia="uk-UA"/>
              </w:rPr>
              <w:t>відмова</w:t>
            </w:r>
            <w:proofErr w:type="spellEnd"/>
            <w:r w:rsidRPr="00830B0A">
              <w:rPr>
                <w:lang w:eastAsia="uk-UA"/>
              </w:rPr>
              <w:t xml:space="preserve">  у</w:t>
            </w:r>
            <w:proofErr w:type="gramEnd"/>
            <w:r w:rsidRPr="00830B0A">
              <w:rPr>
                <w:lang w:eastAsia="uk-UA"/>
              </w:rPr>
              <w:t xml:space="preserve"> </w:t>
            </w:r>
            <w:proofErr w:type="spellStart"/>
            <w:r w:rsidRPr="00830B0A">
              <w:rPr>
                <w:lang w:eastAsia="uk-UA"/>
              </w:rPr>
              <w:t>призначені</w:t>
            </w:r>
            <w:proofErr w:type="spellEnd"/>
            <w:r w:rsidRPr="00830B0A">
              <w:rPr>
                <w:lang w:eastAsia="uk-UA"/>
              </w:rPr>
              <w:t xml:space="preserve"> </w:t>
            </w:r>
            <w:proofErr w:type="spellStart"/>
            <w:r w:rsidRPr="00830B0A">
              <w:rPr>
                <w:lang w:eastAsia="uk-UA"/>
              </w:rPr>
              <w:t>компенсації</w:t>
            </w:r>
            <w:proofErr w:type="spellEnd"/>
          </w:p>
        </w:tc>
      </w:tr>
      <w:tr w:rsidR="0034045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34045A" w:rsidRDefault="0034045A" w:rsidP="0034045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34045A" w:rsidRDefault="0034045A" w:rsidP="0034045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34045A" w:rsidRDefault="0034045A" w:rsidP="0034045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34045A" w:rsidRDefault="0034045A" w:rsidP="0034045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34045A" w:rsidRDefault="0034045A" w:rsidP="0034045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34045A" w:rsidRDefault="0034045A" w:rsidP="0034045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34045A" w:rsidRDefault="0034045A" w:rsidP="0034045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34045A" w:rsidRDefault="0034045A" w:rsidP="0034045A">
            <w:pPr>
              <w:ind w:firstLine="284"/>
              <w:jc w:val="both"/>
              <w:rPr>
                <w:lang w:val="uk-UA"/>
              </w:rPr>
            </w:pPr>
            <w:r>
              <w:rPr>
                <w:lang w:val="uk-UA"/>
              </w:rPr>
              <w:t>- усного повідомлення у випадках, передбачених законом.</w:t>
            </w:r>
          </w:p>
          <w:p w14:paraId="1D8F5B35" w14:textId="77777777" w:rsidR="0034045A" w:rsidRDefault="0034045A" w:rsidP="0034045A">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w:t>
            </w:r>
            <w:r>
              <w:rPr>
                <w:shd w:val="clear" w:color="auto" w:fill="FFFFFF"/>
                <w:lang w:val="uk-UA"/>
              </w:rPr>
              <w:lastRenderedPageBreak/>
              <w:t>електронної пошти чи передається з використанням інших засобів телекомунікаційного зв’язку, вручається особисто тощо).</w:t>
            </w:r>
          </w:p>
        </w:tc>
      </w:tr>
      <w:tr w:rsidR="0034045A" w:rsidRPr="001C6483"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34045A" w:rsidRDefault="0034045A" w:rsidP="0034045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34045A" w:rsidRDefault="0034045A" w:rsidP="0034045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34045A" w:rsidRDefault="0034045A" w:rsidP="0034045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34045A" w:rsidRDefault="0034045A" w:rsidP="0034045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34045A" w:rsidRPr="00402084" w:rsidRDefault="0034045A" w:rsidP="0034045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34045A" w:rsidRPr="00402084" w:rsidRDefault="0034045A" w:rsidP="0034045A">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34045A" w:rsidRPr="00402084" w:rsidRDefault="0034045A" w:rsidP="0034045A">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34045A" w:rsidRPr="00402084" w:rsidRDefault="0034045A" w:rsidP="0034045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34045A" w:rsidRDefault="0034045A" w:rsidP="0034045A">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5123D" w14:textId="77777777" w:rsidR="007A00CC" w:rsidRDefault="007A00CC">
      <w:r>
        <w:separator/>
      </w:r>
    </w:p>
  </w:endnote>
  <w:endnote w:type="continuationSeparator" w:id="0">
    <w:p w14:paraId="60F59716" w14:textId="77777777" w:rsidR="007A00CC" w:rsidRDefault="007A0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FDA54" w14:textId="77777777" w:rsidR="007A00CC" w:rsidRDefault="007A00CC">
      <w:r>
        <w:separator/>
      </w:r>
    </w:p>
  </w:footnote>
  <w:footnote w:type="continuationSeparator" w:id="0">
    <w:p w14:paraId="783404ED" w14:textId="77777777" w:rsidR="007A00CC" w:rsidRDefault="007A0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70396616" w:rsidR="000552D2" w:rsidRDefault="00A20827">
                          <w:pPr>
                            <w:pStyle w:val="af0"/>
                          </w:pPr>
                          <w:r>
                            <w:rPr>
                              <w:rStyle w:val="a4"/>
                            </w:rPr>
                            <w:fldChar w:fldCharType="begin"/>
                          </w:r>
                          <w:r>
                            <w:rPr>
                              <w:rStyle w:val="a4"/>
                            </w:rPr>
                            <w:instrText>PAGE</w:instrText>
                          </w:r>
                          <w:r>
                            <w:rPr>
                              <w:rStyle w:val="a4"/>
                            </w:rPr>
                            <w:fldChar w:fldCharType="separate"/>
                          </w:r>
                          <w:r w:rsidR="005D5631">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70396616" w:rsidR="000552D2" w:rsidRDefault="00A20827">
                    <w:pPr>
                      <w:pStyle w:val="af0"/>
                    </w:pPr>
                    <w:r>
                      <w:rPr>
                        <w:rStyle w:val="a4"/>
                      </w:rPr>
                      <w:fldChar w:fldCharType="begin"/>
                    </w:r>
                    <w:r>
                      <w:rPr>
                        <w:rStyle w:val="a4"/>
                      </w:rPr>
                      <w:instrText>PAGE</w:instrText>
                    </w:r>
                    <w:r>
                      <w:rPr>
                        <w:rStyle w:val="a4"/>
                      </w:rPr>
                      <w:fldChar w:fldCharType="separate"/>
                    </w:r>
                    <w:r w:rsidR="005D5631">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0207"/>
    <w:rsid w:val="000552D2"/>
    <w:rsid w:val="00091474"/>
    <w:rsid w:val="000C4009"/>
    <w:rsid w:val="0011750A"/>
    <w:rsid w:val="001C6483"/>
    <w:rsid w:val="002643C0"/>
    <w:rsid w:val="00296106"/>
    <w:rsid w:val="002A0D91"/>
    <w:rsid w:val="00316FD7"/>
    <w:rsid w:val="003178F2"/>
    <w:rsid w:val="0034045A"/>
    <w:rsid w:val="00402084"/>
    <w:rsid w:val="004F65A3"/>
    <w:rsid w:val="005054FA"/>
    <w:rsid w:val="005261C1"/>
    <w:rsid w:val="005905B9"/>
    <w:rsid w:val="005B0862"/>
    <w:rsid w:val="005D5631"/>
    <w:rsid w:val="006C6282"/>
    <w:rsid w:val="006D54A5"/>
    <w:rsid w:val="006E332E"/>
    <w:rsid w:val="007A00CC"/>
    <w:rsid w:val="007D2E45"/>
    <w:rsid w:val="007F3FCC"/>
    <w:rsid w:val="0087094A"/>
    <w:rsid w:val="00871918"/>
    <w:rsid w:val="008B2508"/>
    <w:rsid w:val="009123DE"/>
    <w:rsid w:val="00933078"/>
    <w:rsid w:val="009F0A2C"/>
    <w:rsid w:val="009F7570"/>
    <w:rsid w:val="00A20827"/>
    <w:rsid w:val="00AF11DB"/>
    <w:rsid w:val="00B41265"/>
    <w:rsid w:val="00BE1D5B"/>
    <w:rsid w:val="00C2260F"/>
    <w:rsid w:val="00D1160B"/>
    <w:rsid w:val="00D22DCD"/>
    <w:rsid w:val="00D25DA6"/>
    <w:rsid w:val="00D577FD"/>
    <w:rsid w:val="00D624C7"/>
    <w:rsid w:val="00DA2E7B"/>
    <w:rsid w:val="00DC5045"/>
    <w:rsid w:val="00DE1D1D"/>
    <w:rsid w:val="00DE5A1A"/>
    <w:rsid w:val="00E06C98"/>
    <w:rsid w:val="00E319D3"/>
    <w:rsid w:val="00E41888"/>
    <w:rsid w:val="00EF12B4"/>
    <w:rsid w:val="00FA4057"/>
    <w:rsid w:val="00FB6214"/>
    <w:rsid w:val="00FE07DA"/>
    <w:rsid w:val="00FF623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customStyle="1" w:styleId="rvps6">
    <w:name w:val="rvps6"/>
    <w:basedOn w:val="a"/>
    <w:rsid w:val="0034045A"/>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252</TotalTime>
  <Pages>1</Pages>
  <Words>1487</Words>
  <Characters>8482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39</cp:revision>
  <cp:lastPrinted>2025-04-25T05:50:00Z</cp:lastPrinted>
  <dcterms:created xsi:type="dcterms:W3CDTF">2024-03-04T11:18:00Z</dcterms:created>
  <dcterms:modified xsi:type="dcterms:W3CDTF">2025-04-25T05:53:00Z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