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5471795</wp:posOffset>
                </wp:positionH>
                <wp:positionV relativeFrom="paragraph">
                  <wp:posOffset>-466725</wp:posOffset>
                </wp:positionV>
                <wp:extent cx="572770" cy="210820"/>
                <wp:effectExtent l="0" t="0" r="0" b="0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0" cy="21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Lucida Sans"/>
                                <w:color w:val="000000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t" style="position:absolute;margin-left:430.85pt;margin-top:-36.75pt;width:45pt;height:16.5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cs="Lucida Sans"/>
                          <w:color w:val="000000"/>
                          <w:kern w:val="0"/>
                          <w:sz w:val="24"/>
                          <w:szCs w:val="24"/>
                          <w:lang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-476250</wp:posOffset>
            </wp:positionV>
            <wp:extent cx="421005" cy="60134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uk-UA" w:eastAsia="zh-CN" w:bidi="hi-IN"/>
        </w:rPr>
        <w:t>20.05.2022</w:t>
      </w:r>
      <w:r>
        <w:rPr/>
        <w:t xml:space="preserve">                                                  </w:t>
      </w:r>
      <w:r>
        <w:rPr>
          <w:sz w:val="24"/>
          <w:szCs w:val="24"/>
        </w:rPr>
        <w:t xml:space="preserve">    м.Покров           </w:t>
      </w:r>
      <w:r>
        <w:rPr/>
        <w:t xml:space="preserve">                        № </w:t>
      </w:r>
      <w:r>
        <w:rPr>
          <w:rFonts w:eastAsia="Noto Serif CJK SC" w:cs="Lohit Devanagari"/>
          <w:color w:val="auto"/>
          <w:kern w:val="2"/>
          <w:sz w:val="24"/>
          <w:szCs w:val="24"/>
          <w:lang w:val="uk-UA" w:eastAsia="zh-CN" w:bidi="hi-IN"/>
        </w:rPr>
        <w:t>120/06-53-22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-57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Про затвердження умов оренди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вбудованого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нежитлового приміщення загальною площею 24,2 кв.м.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розташованого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по вул.Центральна, 49/1 в м.Покров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включеного до Переліку першого типу</w:t>
      </w:r>
    </w:p>
    <w:p>
      <w:pPr>
        <w:pStyle w:val="Style17"/>
        <w:bidi w:val="0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У зав'язку із включенням до Переліку першого типу вбудованого нежитлового приміщення загальною площею 24,2 кв.м., розташованого по вул.Центральна, 49/1 в м. Покров (ID об'єкта: </w:t>
      </w:r>
      <w:hyperlink r:id="rId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RGL001-UA-20220505-26064</w:t>
        </w:r>
      </w:hyperlink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згідно рішення виконавчого комітету Покровської міської ради від 09.05.2022 №109/06-53-22, 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24,2 кв.м., за адресою: Дніпропетровська область, Нікопольський район, м.Покров, вул.Центральна, 49/1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, передача якого здійснюється на аукціоні, додаються.</w:t>
      </w:r>
    </w:p>
    <w:p>
      <w:pPr>
        <w:pStyle w:val="Style17"/>
        <w:widowControl/>
        <w:suppressAutoHyphens w:val="true"/>
        <w:bidi w:val="0"/>
        <w:spacing w:lineRule="auto" w:line="276" w:before="0" w:after="14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  <w:t>Міський голова                                                                      Олександр ШАПОВАЛ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 xml:space="preserve">від 20.05.2022 </w:t>
      </w: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>№ 120/06-53-22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</w:rPr>
        <w:t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24,2 кв.м., за адресою: Дніпропетровська область, Нікопольський район, м.Покров, вул.Центральна, 49/1”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 Умови, на яких здійснюється оренда об’єкта оренди, включеного до Переліку першого типу,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агальною площею 24,2 кв.м., за адресою: Дніпропетровська область, Нікопольський район, м.Покров, вул.Центральна, 49/1</w:t>
      </w:r>
      <w:r>
        <w:rPr>
          <w:rFonts w:cs="Times New Roman"/>
          <w:sz w:val="28"/>
          <w:szCs w:val="28"/>
          <w:shd w:fill="auto" w:val="clear"/>
        </w:rPr>
        <w:t>” (далі — Об'єкт оренди):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466,70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із зниженням стартової ціни -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233,35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233,35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1.3. Розмір гарантійного внеску для участі в електронному аукціоні становить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4962,00 грн.  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650,00</w:t>
      </w:r>
      <w:r>
        <w:rPr>
          <w:rFonts w:cs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/>
          <w:sz w:val="28"/>
          <w:szCs w:val="28"/>
          <w:shd w:fill="auto" w:val="clear"/>
        </w:rPr>
        <w:t>. Додаткові умови оренди: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  <w:lang w:val="uk-UA"/>
        </w:rPr>
        <w:t>Об’єкт оренди може бути використаний за цільовим призначенням на розсуд орендаря, за винятком таких цільових призначень: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  <w:lang w:val="uk-UA" w:bidi="ar-SA"/>
        </w:rPr>
        <w:t>- з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ритуальні послуги. Громадські вбиральні. Збір і сортування вторинної сировини;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 стоянки автомобілів. Розміщення транспортних підприємств з перевезення пасажирів і вантажів. Станції технічного обслуговування автомобілів.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Тетяна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./&#1045;&#1082;&#1086;&#1085;&#1086;&#1084;&#1110;&#1082;&#1072;/_paren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541</TotalTime>
  <Application>LibreOffice/7.0.3.1$Windows_X86_64 LibreOffice_project/d7547858d014d4cf69878db179d326fc3483e082</Application>
  <Pages>3</Pages>
  <Words>532</Words>
  <Characters>3749</Characters>
  <CharactersWithSpaces>4618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2022-05-24T15:32:25Z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